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3510" w:type="dxa"/>
        <w:tblLook w:val="04A0" w:firstRow="1" w:lastRow="0" w:firstColumn="1" w:lastColumn="0" w:noHBand="0" w:noVBand="1"/>
      </w:tblPr>
      <w:tblGrid>
        <w:gridCol w:w="5034"/>
      </w:tblGrid>
      <w:tr w:rsidR="005475F3" w:rsidRPr="005475F3" w14:paraId="506927C9"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53441E" w14:textId="5DB5F93C" w:rsidR="00137098" w:rsidRPr="005475F3" w:rsidRDefault="00137098" w:rsidP="00137098">
            <w:pPr>
              <w:spacing w:line="360" w:lineRule="auto"/>
              <w:ind w:left="-108"/>
              <w:jc w:val="both"/>
              <w:rPr>
                <w:rFonts w:ascii="Arial" w:hAnsi="Arial" w:cs="Arial"/>
                <w:sz w:val="24"/>
                <w:szCs w:val="24"/>
                <w:lang w:eastAsia="es-ES"/>
              </w:rPr>
            </w:pPr>
            <w:bookmarkStart w:id="0" w:name="_Hlk520393671"/>
            <w:r w:rsidRPr="005475F3">
              <w:rPr>
                <w:rFonts w:ascii="Arial" w:hAnsi="Arial" w:cs="Arial"/>
                <w:b/>
                <w:sz w:val="24"/>
                <w:szCs w:val="24"/>
                <w:lang w:eastAsia="es-ES"/>
              </w:rPr>
              <w:t xml:space="preserve">RECURSO DE REVISIÓN: </w:t>
            </w:r>
            <w:r w:rsidR="00CF1B97">
              <w:rPr>
                <w:rFonts w:ascii="Arial" w:hAnsi="Arial" w:cs="Arial"/>
                <w:sz w:val="24"/>
                <w:szCs w:val="24"/>
                <w:lang w:eastAsia="es-ES"/>
              </w:rPr>
              <w:t>RR-946</w:t>
            </w:r>
            <w:r w:rsidRPr="005475F3">
              <w:rPr>
                <w:rFonts w:ascii="Arial" w:hAnsi="Arial" w:cs="Arial"/>
                <w:sz w:val="24"/>
                <w:szCs w:val="24"/>
                <w:lang w:eastAsia="es-ES"/>
              </w:rPr>
              <w:t>/2026-3</w:t>
            </w:r>
            <w:r w:rsidR="00C03649">
              <w:rPr>
                <w:rFonts w:ascii="Arial" w:hAnsi="Arial" w:cs="Arial"/>
                <w:sz w:val="24"/>
                <w:szCs w:val="24"/>
                <w:lang w:eastAsia="es-ES"/>
              </w:rPr>
              <w:t xml:space="preserve"> </w:t>
            </w:r>
          </w:p>
        </w:tc>
      </w:tr>
      <w:tr w:rsidR="005475F3" w:rsidRPr="005475F3" w14:paraId="3A0568CC"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2831A5" w14:textId="450B0BAA" w:rsidR="00137098" w:rsidRPr="005475F3" w:rsidRDefault="00137098" w:rsidP="00C03649">
            <w:pPr>
              <w:spacing w:line="360" w:lineRule="auto"/>
              <w:ind w:left="-108"/>
              <w:jc w:val="both"/>
              <w:rPr>
                <w:rFonts w:ascii="Arial" w:hAnsi="Arial" w:cs="Arial"/>
                <w:b/>
                <w:sz w:val="24"/>
                <w:szCs w:val="24"/>
                <w:lang w:eastAsia="es-ES"/>
              </w:rPr>
            </w:pPr>
            <w:r w:rsidRPr="005475F3">
              <w:rPr>
                <w:rFonts w:ascii="Arial" w:hAnsi="Arial" w:cs="Arial"/>
                <w:b/>
                <w:sz w:val="24"/>
                <w:szCs w:val="24"/>
                <w:lang w:eastAsia="es-ES"/>
              </w:rPr>
              <w:t xml:space="preserve">SUJETO OBLIGADO: </w:t>
            </w:r>
            <w:r w:rsidR="00C03649">
              <w:rPr>
                <w:rFonts w:ascii="Arial" w:hAnsi="Arial" w:cs="Arial"/>
                <w:sz w:val="24"/>
                <w:szCs w:val="24"/>
                <w:lang w:eastAsia="es-ES"/>
              </w:rPr>
              <w:t xml:space="preserve">MUNICIPIO DE SAN LUIS POTOSÍ </w:t>
            </w:r>
          </w:p>
        </w:tc>
      </w:tr>
      <w:tr w:rsidR="00137098" w:rsidRPr="005475F3" w14:paraId="112D33F3" w14:textId="77777777" w:rsidTr="00137098">
        <w:tc>
          <w:tcPr>
            <w:tcW w:w="50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923CA3" w14:textId="0B519953" w:rsidR="00137098" w:rsidRPr="005475F3" w:rsidRDefault="00624B15" w:rsidP="00137098">
            <w:pPr>
              <w:spacing w:line="360" w:lineRule="auto"/>
              <w:ind w:left="-108"/>
              <w:jc w:val="both"/>
              <w:rPr>
                <w:rFonts w:ascii="Arial" w:hAnsi="Arial" w:cs="Arial"/>
                <w:sz w:val="24"/>
                <w:szCs w:val="24"/>
                <w:lang w:eastAsia="es-ES"/>
              </w:rPr>
            </w:pPr>
            <w:r>
              <w:rPr>
                <w:rFonts w:ascii="Arial" w:hAnsi="Arial" w:cs="Arial"/>
                <w:b/>
                <w:sz w:val="24"/>
                <w:szCs w:val="24"/>
                <w:lang w:eastAsia="es-ES"/>
              </w:rPr>
              <w:t>COMISIONADA</w:t>
            </w:r>
            <w:r w:rsidR="00137098" w:rsidRPr="005475F3">
              <w:rPr>
                <w:rFonts w:ascii="Arial" w:hAnsi="Arial" w:cs="Arial"/>
                <w:b/>
                <w:sz w:val="24"/>
                <w:szCs w:val="24"/>
                <w:lang w:eastAsia="es-ES"/>
              </w:rPr>
              <w:t xml:space="preserve"> PONENTE: </w:t>
            </w:r>
            <w:r w:rsidR="00137098" w:rsidRPr="005475F3">
              <w:rPr>
                <w:rFonts w:ascii="Arial" w:hAnsi="Arial" w:cs="Arial"/>
                <w:sz w:val="24"/>
                <w:szCs w:val="24"/>
                <w:lang w:eastAsia="es-ES"/>
              </w:rPr>
              <w:t>ANA CRISTINA GARCÍA NALES.</w:t>
            </w:r>
          </w:p>
        </w:tc>
      </w:tr>
    </w:tbl>
    <w:p w14:paraId="0E2EB923" w14:textId="77777777" w:rsidR="00137098" w:rsidRPr="005475F3" w:rsidRDefault="00137098" w:rsidP="00137098">
      <w:pPr>
        <w:spacing w:after="0" w:line="360" w:lineRule="auto"/>
        <w:jc w:val="both"/>
        <w:rPr>
          <w:rFonts w:ascii="Arial" w:eastAsia="Times New Roman" w:hAnsi="Arial" w:cs="Arial"/>
          <w:b/>
          <w:sz w:val="24"/>
          <w:szCs w:val="24"/>
          <w:lang w:eastAsia="es-ES"/>
        </w:rPr>
      </w:pPr>
    </w:p>
    <w:p w14:paraId="31812E9C" w14:textId="77777777" w:rsidR="00137098" w:rsidRPr="005475F3" w:rsidRDefault="00137098" w:rsidP="00137098">
      <w:pPr>
        <w:spacing w:after="0" w:line="360" w:lineRule="auto"/>
        <w:ind w:firstLine="708"/>
        <w:jc w:val="both"/>
        <w:rPr>
          <w:rFonts w:ascii="Arial" w:eastAsia="Arial Unicode MS" w:hAnsi="Arial" w:cs="Arial"/>
          <w:sz w:val="24"/>
          <w:szCs w:val="24"/>
          <w:lang w:eastAsia="es-ES"/>
        </w:rPr>
      </w:pPr>
    </w:p>
    <w:p w14:paraId="43E5E7AB" w14:textId="4E659111" w:rsidR="00137098" w:rsidRPr="005475F3" w:rsidRDefault="00137098" w:rsidP="00137098">
      <w:pPr>
        <w:spacing w:after="0" w:line="360" w:lineRule="auto"/>
        <w:ind w:firstLine="708"/>
        <w:jc w:val="both"/>
        <w:rPr>
          <w:rFonts w:ascii="Arial" w:eastAsia="BatangChe" w:hAnsi="Arial" w:cs="Arial"/>
          <w:sz w:val="24"/>
          <w:szCs w:val="24"/>
          <w:lang w:eastAsia="es-ES"/>
        </w:rPr>
      </w:pPr>
      <w:r w:rsidRPr="005475F3">
        <w:rPr>
          <w:rFonts w:ascii="Arial" w:eastAsia="Arial Unicode MS" w:hAnsi="Arial" w:cs="Arial"/>
          <w:sz w:val="24"/>
          <w:szCs w:val="24"/>
          <w:lang w:eastAsia="es-ES"/>
        </w:rPr>
        <w:t xml:space="preserve">San Luis Potosí, San Luis Potosí, </w:t>
      </w:r>
      <w:r w:rsidRPr="005475F3">
        <w:rPr>
          <w:rFonts w:ascii="Arial" w:eastAsia="BatangChe" w:hAnsi="Arial" w:cs="Arial"/>
          <w:sz w:val="24"/>
          <w:szCs w:val="24"/>
          <w:lang w:eastAsia="es-ES"/>
        </w:rPr>
        <w:t xml:space="preserve">Sesión </w:t>
      </w:r>
      <w:r w:rsidR="000E2DF5">
        <w:rPr>
          <w:rFonts w:ascii="Arial" w:eastAsia="BatangChe" w:hAnsi="Arial" w:cs="Arial"/>
          <w:sz w:val="24"/>
          <w:szCs w:val="24"/>
          <w:lang w:eastAsia="es-ES"/>
        </w:rPr>
        <w:t>O</w:t>
      </w:r>
      <w:r w:rsidR="00D75D83">
        <w:rPr>
          <w:rFonts w:ascii="Arial" w:eastAsia="BatangChe" w:hAnsi="Arial" w:cs="Arial"/>
          <w:sz w:val="24"/>
          <w:szCs w:val="24"/>
          <w:lang w:eastAsia="es-ES"/>
        </w:rPr>
        <w:t xml:space="preserve">rdinaria </w:t>
      </w:r>
      <w:r w:rsidRPr="005475F3">
        <w:rPr>
          <w:rFonts w:ascii="Arial" w:eastAsia="BatangChe" w:hAnsi="Arial" w:cs="Arial"/>
          <w:sz w:val="24"/>
          <w:szCs w:val="24"/>
          <w:lang w:eastAsia="es-ES"/>
        </w:rPr>
        <w:t>del Pleno de la Comisión Estatal de Garantía de Acceso a la I</w:t>
      </w:r>
      <w:r w:rsidR="00692242">
        <w:rPr>
          <w:rFonts w:ascii="Arial" w:eastAsia="BatangChe" w:hAnsi="Arial" w:cs="Arial"/>
          <w:sz w:val="24"/>
          <w:szCs w:val="24"/>
          <w:lang w:eastAsia="es-ES"/>
        </w:rPr>
        <w:t xml:space="preserve">nformación Pública, de </w:t>
      </w:r>
      <w:r w:rsidR="00CF1B97">
        <w:rPr>
          <w:rFonts w:ascii="Arial" w:eastAsia="BatangChe" w:hAnsi="Arial" w:cs="Arial"/>
          <w:sz w:val="24"/>
          <w:szCs w:val="24"/>
          <w:lang w:eastAsia="es-ES"/>
        </w:rPr>
        <w:t>08 ocho de octubre</w:t>
      </w:r>
      <w:r w:rsidR="00624B15">
        <w:rPr>
          <w:rFonts w:ascii="Arial" w:eastAsia="BatangChe" w:hAnsi="Arial" w:cs="Arial"/>
          <w:sz w:val="24"/>
          <w:szCs w:val="24"/>
          <w:lang w:eastAsia="es-ES"/>
        </w:rPr>
        <w:t xml:space="preserve"> </w:t>
      </w:r>
      <w:r w:rsidR="00933F44">
        <w:rPr>
          <w:rFonts w:ascii="Arial" w:eastAsia="BatangChe" w:hAnsi="Arial" w:cs="Arial"/>
          <w:sz w:val="24"/>
          <w:szCs w:val="24"/>
          <w:lang w:eastAsia="es-ES"/>
        </w:rPr>
        <w:t xml:space="preserve">de 2026 </w:t>
      </w:r>
      <w:r w:rsidRPr="005475F3">
        <w:rPr>
          <w:rFonts w:ascii="Arial" w:eastAsia="BatangChe" w:hAnsi="Arial" w:cs="Arial"/>
          <w:sz w:val="24"/>
          <w:szCs w:val="24"/>
          <w:lang w:eastAsia="es-ES"/>
        </w:rPr>
        <w:t xml:space="preserve">dos mil veintiséis. </w:t>
      </w:r>
    </w:p>
    <w:p w14:paraId="65F57285" w14:textId="77777777" w:rsidR="00137098" w:rsidRPr="005475F3" w:rsidRDefault="00137098" w:rsidP="00137098">
      <w:pPr>
        <w:spacing w:after="0" w:line="360" w:lineRule="auto"/>
        <w:jc w:val="both"/>
        <w:rPr>
          <w:rFonts w:ascii="Arial" w:eastAsia="Arial Unicode MS" w:hAnsi="Arial" w:cs="Arial"/>
          <w:sz w:val="24"/>
          <w:szCs w:val="24"/>
          <w:lang w:eastAsia="es-ES"/>
        </w:rPr>
      </w:pPr>
    </w:p>
    <w:p w14:paraId="14374BA2"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bCs/>
          <w:sz w:val="24"/>
          <w:szCs w:val="24"/>
          <w:lang w:eastAsia="es-ES"/>
        </w:rPr>
        <w:t>VISTOS</w:t>
      </w:r>
      <w:r w:rsidRPr="005475F3">
        <w:rPr>
          <w:rFonts w:ascii="Arial" w:eastAsia="Arial Unicode MS" w:hAnsi="Arial" w:cs="Arial"/>
          <w:sz w:val="24"/>
          <w:szCs w:val="24"/>
          <w:lang w:eastAsia="es-ES"/>
        </w:rPr>
        <w:t>, para resolver los autos que conforman el expediente citado al rubro;</w:t>
      </w:r>
      <w:r w:rsidRPr="005475F3">
        <w:rPr>
          <w:rFonts w:ascii="Arial" w:eastAsia="Arial Unicode MS" w:hAnsi="Arial" w:cs="Arial"/>
          <w:b/>
          <w:sz w:val="24"/>
          <w:szCs w:val="24"/>
          <w:lang w:eastAsia="es-ES"/>
        </w:rPr>
        <w:t xml:space="preserve"> </w:t>
      </w:r>
      <w:r w:rsidRPr="005475F3">
        <w:rPr>
          <w:rFonts w:ascii="Arial" w:eastAsia="Arial Unicode MS" w:hAnsi="Arial" w:cs="Arial"/>
          <w:sz w:val="24"/>
          <w:szCs w:val="24"/>
          <w:lang w:eastAsia="es-ES"/>
        </w:rPr>
        <w:t>y</w:t>
      </w:r>
      <w:r w:rsidRPr="005475F3">
        <w:rPr>
          <w:rFonts w:ascii="Arial" w:eastAsia="Arial Unicode MS" w:hAnsi="Arial" w:cs="Arial"/>
          <w:b/>
          <w:sz w:val="24"/>
          <w:szCs w:val="24"/>
          <w:lang w:eastAsia="es-ES"/>
        </w:rPr>
        <w:t xml:space="preserve">  </w:t>
      </w:r>
    </w:p>
    <w:p w14:paraId="285D4E3C" w14:textId="77777777" w:rsidR="00137098" w:rsidRPr="005475F3" w:rsidRDefault="00137098" w:rsidP="00137098">
      <w:pPr>
        <w:spacing w:after="0" w:line="360" w:lineRule="auto"/>
        <w:ind w:firstLine="708"/>
        <w:jc w:val="both"/>
        <w:rPr>
          <w:rFonts w:ascii="Arial" w:eastAsia="Arial Unicode MS" w:hAnsi="Arial" w:cs="Arial"/>
          <w:b/>
          <w:sz w:val="24"/>
          <w:szCs w:val="24"/>
          <w:lang w:eastAsia="es-ES"/>
        </w:rPr>
      </w:pPr>
    </w:p>
    <w:p w14:paraId="1E8F191C"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r w:rsidRPr="005475F3">
        <w:rPr>
          <w:rFonts w:ascii="Arial" w:eastAsia="Arial Unicode MS" w:hAnsi="Arial" w:cs="Arial"/>
          <w:b/>
          <w:sz w:val="24"/>
          <w:szCs w:val="24"/>
          <w:lang w:val="pt-BR" w:eastAsia="es-ES"/>
        </w:rPr>
        <w:t>R E S U L T A N D O:</w:t>
      </w:r>
    </w:p>
    <w:p w14:paraId="72C2FB52" w14:textId="77777777" w:rsidR="00137098" w:rsidRPr="005475F3" w:rsidRDefault="00137098" w:rsidP="00137098">
      <w:pPr>
        <w:spacing w:after="0" w:line="360" w:lineRule="auto"/>
        <w:ind w:firstLine="900"/>
        <w:jc w:val="center"/>
        <w:rPr>
          <w:rFonts w:ascii="Arial" w:eastAsia="Arial Unicode MS" w:hAnsi="Arial" w:cs="Arial"/>
          <w:b/>
          <w:sz w:val="24"/>
          <w:szCs w:val="24"/>
          <w:lang w:val="pt-BR" w:eastAsia="es-ES"/>
        </w:rPr>
      </w:pPr>
    </w:p>
    <w:p w14:paraId="3D3062D0" w14:textId="55A4A70B" w:rsidR="00137098" w:rsidRPr="005475F3" w:rsidRDefault="00137098" w:rsidP="00137098">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PRIMERO.</w:t>
      </w: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Solicitud de acceso a la información pública.</w:t>
      </w:r>
      <w:r w:rsidRPr="005475F3">
        <w:rPr>
          <w:rFonts w:ascii="Arial" w:eastAsia="Arial Unicode MS" w:hAnsi="Arial" w:cs="Arial"/>
          <w:sz w:val="24"/>
          <w:szCs w:val="24"/>
          <w:lang w:eastAsia="es-ES"/>
        </w:rPr>
        <w:t xml:space="preserve"> El </w:t>
      </w:r>
      <w:r w:rsidR="00C03649">
        <w:rPr>
          <w:rFonts w:ascii="Arial" w:eastAsia="Arial Unicode MS" w:hAnsi="Arial" w:cs="Arial"/>
          <w:sz w:val="24"/>
          <w:szCs w:val="24"/>
          <w:lang w:eastAsia="es-ES"/>
        </w:rPr>
        <w:t>08 ocho de julio</w:t>
      </w:r>
      <w:r w:rsidR="00C46B57">
        <w:rPr>
          <w:rFonts w:ascii="Arial" w:eastAsia="Arial Unicode MS" w:hAnsi="Arial" w:cs="Arial"/>
          <w:sz w:val="24"/>
          <w:szCs w:val="24"/>
          <w:lang w:eastAsia="es-ES"/>
        </w:rPr>
        <w:t xml:space="preserve"> </w:t>
      </w:r>
      <w:r w:rsidR="00933F44">
        <w:rPr>
          <w:rFonts w:ascii="Arial" w:eastAsia="Arial Unicode MS" w:hAnsi="Arial" w:cs="Arial"/>
          <w:sz w:val="24"/>
          <w:szCs w:val="24"/>
          <w:lang w:eastAsia="es-ES"/>
        </w:rPr>
        <w:t>de 2026 dos mil veintiséis</w:t>
      </w:r>
      <w:r w:rsidRPr="005475F3">
        <w:rPr>
          <w:rFonts w:ascii="Arial" w:eastAsia="Arial Unicode MS" w:hAnsi="Arial" w:cs="Arial"/>
          <w:sz w:val="24"/>
          <w:szCs w:val="24"/>
          <w:lang w:eastAsia="es-ES"/>
        </w:rPr>
        <w:t>, la persona recurrente presentó una solicitud de acceso a la información</w:t>
      </w:r>
      <w:r w:rsidR="00933F44">
        <w:rPr>
          <w:rFonts w:ascii="Arial" w:eastAsia="Arial Unicode MS" w:hAnsi="Arial" w:cs="Arial"/>
          <w:sz w:val="24"/>
          <w:szCs w:val="24"/>
          <w:lang w:eastAsia="es-ES"/>
        </w:rPr>
        <w:t xml:space="preserve">, </w:t>
      </w:r>
      <w:r w:rsidR="00D75D83">
        <w:rPr>
          <w:rFonts w:ascii="Arial" w:eastAsia="Arial Unicode MS" w:hAnsi="Arial" w:cs="Arial"/>
          <w:sz w:val="24"/>
          <w:szCs w:val="24"/>
          <w:lang w:eastAsia="es-ES"/>
        </w:rPr>
        <w:t xml:space="preserve">al Sujeto Obligado denominado </w:t>
      </w:r>
      <w:r w:rsidR="00C03649">
        <w:rPr>
          <w:rFonts w:ascii="Arial" w:eastAsia="Arial Unicode MS" w:hAnsi="Arial" w:cs="Arial"/>
          <w:b/>
          <w:sz w:val="24"/>
          <w:szCs w:val="24"/>
          <w:lang w:eastAsia="es-ES"/>
        </w:rPr>
        <w:t>MUNICIPIO DE SAN LUIS POTOSÍ</w:t>
      </w:r>
      <w:r w:rsidR="00D75D83">
        <w:rPr>
          <w:rFonts w:ascii="Arial" w:eastAsia="Arial Unicode MS" w:hAnsi="Arial" w:cs="Arial"/>
          <w:b/>
          <w:sz w:val="24"/>
          <w:szCs w:val="24"/>
          <w:lang w:eastAsia="es-ES"/>
        </w:rPr>
        <w:t xml:space="preserve">, </w:t>
      </w:r>
      <w:r w:rsidR="00933F44">
        <w:rPr>
          <w:rFonts w:ascii="Arial" w:eastAsia="Arial Unicode MS" w:hAnsi="Arial" w:cs="Arial"/>
          <w:sz w:val="24"/>
          <w:szCs w:val="24"/>
          <w:lang w:eastAsia="es-ES"/>
        </w:rPr>
        <w:t xml:space="preserve">a través de la Plataforma Nacional de Transparencia, a la que se le asignó el número de folio </w:t>
      </w:r>
      <w:r w:rsidR="00CF1B97">
        <w:rPr>
          <w:rFonts w:ascii="Arial" w:eastAsia="Arial Unicode MS" w:hAnsi="Arial" w:cs="Arial"/>
          <w:sz w:val="24"/>
          <w:szCs w:val="24"/>
          <w:lang w:eastAsia="es-ES"/>
        </w:rPr>
        <w:t>240474426000534</w:t>
      </w:r>
      <w:r w:rsidR="00D30CCA">
        <w:rPr>
          <w:rFonts w:ascii="Arial" w:eastAsia="Arial Unicode MS" w:hAnsi="Arial" w:cs="Arial"/>
          <w:sz w:val="24"/>
          <w:szCs w:val="24"/>
          <w:lang w:eastAsia="es-ES"/>
        </w:rPr>
        <w:t xml:space="preserve">, </w:t>
      </w:r>
      <w:r w:rsidRPr="005475F3">
        <w:rPr>
          <w:rFonts w:ascii="Arial" w:eastAsia="Arial Unicode MS" w:hAnsi="Arial" w:cs="Arial"/>
          <w:sz w:val="24"/>
          <w:szCs w:val="24"/>
          <w:lang w:eastAsia="es-ES"/>
        </w:rPr>
        <w:t xml:space="preserve">en la que se requirió: </w:t>
      </w:r>
    </w:p>
    <w:p w14:paraId="044BA04E" w14:textId="77777777" w:rsidR="00137098" w:rsidRPr="005475F3" w:rsidRDefault="00137098" w:rsidP="00137098">
      <w:pPr>
        <w:spacing w:after="0" w:line="360" w:lineRule="auto"/>
        <w:ind w:firstLine="709"/>
        <w:jc w:val="both"/>
        <w:rPr>
          <w:rFonts w:ascii="Arial" w:eastAsia="Arial Unicode MS" w:hAnsi="Arial" w:cs="Arial"/>
          <w:sz w:val="24"/>
          <w:szCs w:val="24"/>
          <w:lang w:eastAsia="es-ES"/>
        </w:rPr>
      </w:pPr>
    </w:p>
    <w:p w14:paraId="1D4A6AD1" w14:textId="267A8649" w:rsidR="00C03649" w:rsidRPr="00C03649" w:rsidRDefault="00D30CCA" w:rsidP="00CF1B97">
      <w:pPr>
        <w:pStyle w:val="ListParagraph"/>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w:t>
      </w:r>
      <w:r w:rsidR="00CF1B97" w:rsidRPr="00CF1B97">
        <w:rPr>
          <w:rFonts w:ascii="Arial" w:eastAsia="Arial Unicode MS" w:hAnsi="Arial" w:cs="Arial"/>
          <w:lang w:eastAsia="es-ES"/>
        </w:rPr>
        <w:t xml:space="preserve">Se solicita la entrega de la siguiente información pública, con fundamento en el artículo 6° de la Constitución Política de los Estados Unidos Mexicanos y en la Ley de Transparencia y Acceso a la Información Pública aplicable, respecto al Objetivo 3.3 ("Fortalecer los medios de transporte alternativos a los vehículos automotores para la movilidad en el municipio") y su estrategia 3.3.1 del Plan Municipal de Desarrollo vigente: Para el cierre del ejercicio fiscal 2025 (Meta anual programada de 50 km de la Red Ciclista): -Copia de cualquier documento probatorio, acto administrativo o instrumento jurídico que acredite el encargo, adjudicación o contratación para la creación (3.3.1.1) y rehabilitación (3.3.1.2) de ciclovías durante dicho periodo (tales como contratos, pedidos u órdenes de trabajo). -Copia de cualquier documento que acredite la conclusión física y/o el pago de los kilómetros informados (tales como actas de entrega-recepción, finiquitos, estimaciones pagadas o Comprobantes Fiscales Digitales por Internet - CFDI). -El desglose contable y presupuestal del recurso autorizado, modificado, devengado y pagado, presentado a nivel de partida específica o clave programática asignada a este objetivo o a la </w:t>
      </w:r>
      <w:r w:rsidR="00CF1B97" w:rsidRPr="00CF1B97">
        <w:rPr>
          <w:rFonts w:ascii="Arial" w:eastAsia="Arial Unicode MS" w:hAnsi="Arial" w:cs="Arial"/>
          <w:lang w:eastAsia="es-ES"/>
        </w:rPr>
        <w:lastRenderedPageBreak/>
        <w:t>infraestructura ciclista durante 2025, quedando estrictamente prohibida la entrega de reportes globales o consolidados de la dependencia. Para el ejercicio fiscal 2026 en curso (Meta programada de 50 km): -Copia de cualquier documento que acredite la adjudicación o contratación vigente a la fecha para estos fines. De existir procesos de contratación en curso, se solicita la documentación que informe el estatus procesal actual, número de procedimiento y fecha estimada de fallo, sin que la etapa de concurso se invoque para negar la existencia de dicho trámite. -Copia de cualquier informe, registro de supervisión, bitácora o documento probatorio generado por el área ejecutora que acredite el avance físico real o el estado que guardan los tramos intervenidos a la fecha de presentación de esta solicitud. -El registro contable del presupuesto asignado y devengado específicamente para este objetivo en el año en curso, presentado mediante un desglose por partida que impida la consolidación global con otros gastos de la dependencia. Formato de entrega: -Toda la documentación deberá entregarse obligatoriamente en formatos electrónicos editables (PDF con texto seleccionable, tablas en Excel o CSV) a través de la Plataforma Nacional de Transparencia, en estricto cumplimiento de los principios de máxima publicidad y accesibilidad.</w:t>
      </w:r>
      <w:r w:rsidR="00C03649" w:rsidRPr="00C03649">
        <w:rPr>
          <w:rFonts w:ascii="Arial" w:eastAsia="Arial Unicode MS" w:hAnsi="Arial" w:cs="Arial"/>
          <w:lang w:eastAsia="es-ES"/>
        </w:rPr>
        <w:t>.</w:t>
      </w:r>
    </w:p>
    <w:p w14:paraId="267D8F64" w14:textId="77777777" w:rsidR="00137098" w:rsidRPr="005475F3" w:rsidRDefault="00137098" w:rsidP="00137098">
      <w:pPr>
        <w:spacing w:after="0" w:line="360" w:lineRule="auto"/>
        <w:ind w:firstLine="709"/>
        <w:jc w:val="both"/>
        <w:rPr>
          <w:rFonts w:ascii="Arial" w:eastAsia="Arial Unicode MS" w:hAnsi="Arial" w:cs="Arial"/>
          <w:b/>
          <w:sz w:val="24"/>
          <w:szCs w:val="24"/>
          <w:lang w:eastAsia="es-ES"/>
        </w:rPr>
      </w:pPr>
    </w:p>
    <w:p w14:paraId="5E0E51ED" w14:textId="70328120" w:rsidR="00035E7E" w:rsidRDefault="0093057A" w:rsidP="00035E7E">
      <w:pPr>
        <w:spacing w:after="0" w:line="360" w:lineRule="auto"/>
        <w:ind w:firstLine="709"/>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SEGUNDO. Respuesta a la solicitud de acceso a la información pública. </w:t>
      </w:r>
      <w:r w:rsidRPr="005475F3">
        <w:rPr>
          <w:rFonts w:ascii="Arial" w:eastAsia="Arial Unicode MS" w:hAnsi="Arial" w:cs="Arial"/>
          <w:sz w:val="24"/>
          <w:szCs w:val="24"/>
          <w:lang w:eastAsia="es-ES"/>
        </w:rPr>
        <w:t xml:space="preserve">El </w:t>
      </w:r>
      <w:r w:rsidR="007111A0">
        <w:rPr>
          <w:rFonts w:ascii="Arial" w:eastAsia="Arial Unicode MS" w:hAnsi="Arial" w:cs="Arial"/>
          <w:sz w:val="24"/>
          <w:szCs w:val="24"/>
          <w:lang w:eastAsia="es-ES"/>
        </w:rPr>
        <w:t>24 veinticuatro de junio de</w:t>
      </w:r>
      <w:r w:rsidR="00692242">
        <w:rPr>
          <w:rFonts w:ascii="Arial" w:eastAsia="Arial Unicode MS" w:hAnsi="Arial" w:cs="Arial"/>
          <w:sz w:val="24"/>
          <w:szCs w:val="24"/>
          <w:lang w:eastAsia="es-ES"/>
        </w:rPr>
        <w:t xml:space="preserve"> </w:t>
      </w:r>
      <w:r w:rsidR="00D10700">
        <w:rPr>
          <w:rFonts w:ascii="Arial" w:eastAsia="Arial Unicode MS" w:hAnsi="Arial" w:cs="Arial"/>
          <w:sz w:val="24"/>
          <w:szCs w:val="24"/>
          <w:lang w:eastAsia="es-ES"/>
        </w:rPr>
        <w:t xml:space="preserve">2026 </w:t>
      </w:r>
      <w:r w:rsidR="00692242">
        <w:rPr>
          <w:rFonts w:ascii="Arial" w:eastAsia="Arial Unicode MS" w:hAnsi="Arial" w:cs="Arial"/>
          <w:sz w:val="24"/>
          <w:szCs w:val="24"/>
          <w:lang w:eastAsia="es-ES"/>
        </w:rPr>
        <w:t>dos mil veintiséis</w:t>
      </w:r>
      <w:r w:rsidRPr="005475F3">
        <w:rPr>
          <w:rFonts w:ascii="Arial" w:eastAsia="Arial Unicode MS" w:hAnsi="Arial" w:cs="Arial"/>
          <w:sz w:val="24"/>
          <w:szCs w:val="24"/>
          <w:lang w:eastAsia="es-ES"/>
        </w:rPr>
        <w:t>, el Sujeto Obligado</w:t>
      </w:r>
      <w:r w:rsidR="00A81098" w:rsidRPr="005475F3">
        <w:rPr>
          <w:rFonts w:ascii="Arial" w:eastAsia="Arial Unicode MS" w:hAnsi="Arial" w:cs="Arial"/>
          <w:sz w:val="24"/>
          <w:szCs w:val="24"/>
          <w:lang w:eastAsia="es-ES"/>
        </w:rPr>
        <w:t>,</w:t>
      </w:r>
      <w:r w:rsidR="00AE6680" w:rsidRPr="005475F3">
        <w:rPr>
          <w:rFonts w:ascii="Arial" w:eastAsia="Arial Unicode MS" w:hAnsi="Arial" w:cs="Arial"/>
          <w:sz w:val="24"/>
          <w:szCs w:val="24"/>
          <w:lang w:eastAsia="es-ES"/>
        </w:rPr>
        <w:t xml:space="preserve"> </w:t>
      </w:r>
      <w:r w:rsidR="00035E7E" w:rsidRPr="00035E7E">
        <w:rPr>
          <w:rFonts w:ascii="Arial" w:eastAsia="Arial Unicode MS" w:hAnsi="Arial" w:cs="Arial"/>
          <w:sz w:val="24"/>
          <w:szCs w:val="24"/>
          <w:lang w:eastAsia="es-ES"/>
        </w:rPr>
        <w:t>a través de la Plataforma Nacional de Transparencia, notificó a la ahora parte recurrente, la respuesta a la solicitud de acceso a la información pública,</w:t>
      </w:r>
      <w:r w:rsidR="00035E7E">
        <w:rPr>
          <w:rFonts w:ascii="Arial" w:eastAsia="Arial Unicode MS" w:hAnsi="Arial" w:cs="Arial"/>
          <w:sz w:val="24"/>
          <w:szCs w:val="24"/>
          <w:lang w:eastAsia="es-ES"/>
        </w:rPr>
        <w:t xml:space="preserve"> en la que esencialmente señaló, lo siguiente: </w:t>
      </w:r>
    </w:p>
    <w:p w14:paraId="0ED6FE7F" w14:textId="3AF83710" w:rsidR="00035E7E" w:rsidRDefault="00035E7E" w:rsidP="00035E7E">
      <w:pPr>
        <w:spacing w:after="0" w:line="360" w:lineRule="auto"/>
        <w:ind w:firstLine="709"/>
        <w:jc w:val="both"/>
        <w:rPr>
          <w:rFonts w:ascii="Arial" w:eastAsia="Arial Unicode MS" w:hAnsi="Arial" w:cs="Arial"/>
          <w:sz w:val="24"/>
          <w:szCs w:val="24"/>
          <w:lang w:eastAsia="es-ES"/>
        </w:rPr>
      </w:pPr>
    </w:p>
    <w:p w14:paraId="1E413AF7" w14:textId="77777777" w:rsidR="00D956E5" w:rsidRDefault="00373E6F" w:rsidP="00D21027">
      <w:pPr>
        <w:pStyle w:val="ListParagraph"/>
        <w:spacing w:after="0" w:line="240" w:lineRule="auto"/>
        <w:ind w:left="1134" w:right="1185"/>
        <w:jc w:val="both"/>
        <w:rPr>
          <w:rFonts w:ascii="Arial" w:eastAsia="Arial Unicode MS" w:hAnsi="Arial" w:cs="Arial"/>
          <w:lang w:eastAsia="es-ES"/>
        </w:rPr>
      </w:pPr>
      <w:r w:rsidRPr="005475F3">
        <w:rPr>
          <w:rFonts w:ascii="Arial" w:eastAsia="Arial Unicode MS" w:hAnsi="Arial" w:cs="Arial"/>
          <w:lang w:eastAsia="es-ES"/>
        </w:rPr>
        <w:t>“</w:t>
      </w:r>
      <w:r w:rsidR="00D956E5" w:rsidRPr="00D956E5">
        <w:rPr>
          <w:rFonts w:ascii="Arial" w:eastAsia="Arial Unicode MS" w:hAnsi="Arial" w:cs="Arial"/>
          <w:lang w:eastAsia="es-ES"/>
        </w:rPr>
        <w:t xml:space="preserve">Llevado a cabo el análisis de la solicitud de cuenta, a fin de estar en posibilidades de otorgar respuesta a lo peticionado, se realizó gestión con el área susceptible de poseer información, que es la Dirección de Obras Públicas. </w:t>
      </w:r>
    </w:p>
    <w:p w14:paraId="1BE4EE3E" w14:textId="77777777"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55F32A0A" w14:textId="77777777" w:rsid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Lo anterior, siendo el área competente de acuerdo con las funciones responsabilidades que le han sido asignadas, en el punto 3.2.22 establecidas en el Manual General de Organización del Municipio de San Luis Potosí, mismas que establece:</w:t>
      </w:r>
    </w:p>
    <w:p w14:paraId="4D03BBD9" w14:textId="77777777"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1ECA539F" w14:textId="1330AA58" w:rsid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 xml:space="preserve"> Planear, proyectar, promover y construir la obra pública, garantizando calidad y la correcta aplicación del recurso asignado, que atienda una necesidad en materia de infraestructura, equipamiento urbano y movilidad a los ciudadanos, además de vialidades seguras, de conformidad con la normatividad aplicable. </w:t>
      </w:r>
    </w:p>
    <w:p w14:paraId="22ED8F95" w14:textId="77777777"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72C2527C" w14:textId="0BA1BFE9" w:rsid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 xml:space="preserve">Derivado de las gestiones conducentes al área susceptible de conocer sobre lo peticionado, se tuvo por recibido en la Unidad de Transparencia el oficio DOP/CJ/1310/2026 del cual se desprende la respuesta emitida por parte de la Dirección de Obras Públicas, sobre lo relativo a la información peticionada, </w:t>
      </w:r>
      <w:r w:rsidRPr="00D956E5">
        <w:rPr>
          <w:rFonts w:ascii="Arial" w:eastAsia="Arial Unicode MS" w:hAnsi="Arial" w:cs="Arial"/>
          <w:lang w:eastAsia="es-ES"/>
        </w:rPr>
        <w:lastRenderedPageBreak/>
        <w:t xml:space="preserve">del cual se da parte del contenido de la misiva en comento que a la letra dice: "(sic) </w:t>
      </w:r>
    </w:p>
    <w:p w14:paraId="574C0F5B" w14:textId="6FA9FC45"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673FE8E3" w14:textId="1D9558BA" w:rsid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(sic) Por este conducto le envío un cordial saludo, al mismo tiempo y en atención a su similar número UT 0944/2026, derivado de la solicitud de información pública con número de expediente interno UT-SI-523/2026, mediante la cual se peticiona lo siguiente:</w:t>
      </w:r>
    </w:p>
    <w:p w14:paraId="05798D99" w14:textId="4026D668"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2CFC2AA0" w14:textId="64889C28" w:rsid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"(sic) Se solicita la entrega de la siguiente información pública, con fundamento en el articulo 6 de la Constitución Política de los Estados Unidos Mexicanos y en la Ley de Transparencia y Acceso a la Información Pública aplicable, respecto al Objetivo 3.3 ("Fortalecer los medios de transporte alternativos a los vehículos automotores para la movilidad en el municipio") y su estrategia 3.3.1 del Plan Municipal de Desarrollo vigente: Para el cierre del ejercicio fiscal</w:t>
      </w:r>
      <w:r>
        <w:rPr>
          <w:rFonts w:ascii="Arial" w:eastAsia="Arial Unicode MS" w:hAnsi="Arial" w:cs="Arial"/>
          <w:lang w:eastAsia="es-ES"/>
        </w:rPr>
        <w:t xml:space="preserve"> </w:t>
      </w:r>
      <w:r w:rsidRPr="00D956E5">
        <w:rPr>
          <w:rFonts w:ascii="Arial" w:eastAsia="Arial Unicode MS" w:hAnsi="Arial" w:cs="Arial"/>
          <w:lang w:eastAsia="es-ES"/>
        </w:rPr>
        <w:t>2025 (Meta anual programada de 50 km de la Red Ciclista): -Copia de cualquier documento probatorio, acto administrativo o instrumento jurídico que acredite el encargo, adjudicación o contratación para la creación (3.3.1.1) y rehabilitación (3.3.1.2) de ciclovías durante dicho periodo (tales como contratos, pedidos u órdenes de trabajo). -Copia de cualquier documento que acredite la conclusión física y/o el pago de los kilómetros informados (tales como actas de entrega-recepción, finiquitos, estimaciones pagadas o Comprobantes Fiscales Digitales por Internet - CFDI) -El desglose contable y presupuestal del recurso autorizado, modificado, devengado y pagado, presentado a nivel de partida específica o clave programática asignada a este objetivo o a la infraestructura ciclista durante 2025, quedando estrictamente prohibida la entrega de reportes globales o consolidados de la dependencia. Para el ejercicio fiscal 2026 en curso (Meta programada de 50 km): -Copia de cualquier documento que acredite la adjudicación o contratación vigente a la fecha para estos fines. De existir procesos de contratación en curso, se solicita la documentación que informe el estatus procesal actual, número de procedimiento y fecha estimada de fallo, sin que la etapa de concurso se invoque para negar la existencia de dicho trámite. -Copia de cualquier informe, registro de supervisión, bitácora o documento probatorio generado por el área ejecutora que acredite el avance físico real o el estado que guardan los tramos intervenidos a la fecha de presentación de esta solicitud. -El registro contable del presupuesto asignado y devengado específicamente para este objetivo en el año en curso, presentado mediante un desglose por partida que impida la consolidación global con otros gastos de la dependencia. Formato de entrega: -Toda la documentación deberá entregarse obligatoriamente en formatos electrónicos editables (PDF con texto seleccionable, tablas en Excel o CSV) a través de la Plataforma Nacional de Transparencia, en estricto cumplimiento de los principios de máxima publicidad y accesibilidad."</w:t>
      </w:r>
    </w:p>
    <w:p w14:paraId="67DBA76F" w14:textId="312320E3"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2BB18499" w14:textId="029531DA" w:rsidR="00D956E5" w:rsidRP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Al respecto, me permito informarle que después de una búsqueda en los archivos de esta Dirección no se encontró información alguna al respecto. Se sugiere redireccionar dicha petición al Instituto Municipal de Planeación (IMPLAN).</w:t>
      </w:r>
    </w:p>
    <w:p w14:paraId="60D624CC" w14:textId="237A20F3"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1F4EC672" w14:textId="1F8475BC" w:rsid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Sin otro particular por el momento y en espera que dicha información le sea de utilidad, quedо de usted para cualquier duda o aclaración al respecto."</w:t>
      </w:r>
    </w:p>
    <w:p w14:paraId="37A56D5D" w14:textId="24B733EF"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235026BA" w14:textId="17C8CB4F" w:rsidR="00D956E5" w:rsidRPr="00D956E5" w:rsidRDefault="00D956E5" w:rsidP="00D21027">
      <w:pPr>
        <w:pStyle w:val="ListParagraph"/>
        <w:spacing w:after="0" w:line="240" w:lineRule="auto"/>
        <w:ind w:left="1134" w:right="1185"/>
        <w:jc w:val="both"/>
        <w:rPr>
          <w:rFonts w:ascii="Arial" w:eastAsia="Arial Unicode MS" w:hAnsi="Arial" w:cs="Arial"/>
          <w:lang w:eastAsia="es-ES"/>
        </w:rPr>
      </w:pPr>
      <w:r w:rsidRPr="00D956E5">
        <w:rPr>
          <w:rFonts w:ascii="Arial" w:eastAsia="Arial Unicode MS" w:hAnsi="Arial" w:cs="Arial"/>
          <w:lang w:eastAsia="es-ES"/>
        </w:rPr>
        <w:t>Por lo anterior, se acredita la NO COMPETENCIA y se sugiere se dirija su solicitud al Instituto Municipal de Planeación, ubicado Cam. a la Presa de San José #1555, Lomas 3a. Sección, 78216 San Luis Potosí, S.L.P., mismo que cuentan con los números telefónicos (444)814.16.30 (444)814.13.97.</w:t>
      </w:r>
    </w:p>
    <w:p w14:paraId="385DCD62" w14:textId="6073482E" w:rsidR="00D956E5" w:rsidRDefault="00D956E5" w:rsidP="00D21027">
      <w:pPr>
        <w:pStyle w:val="ListParagraph"/>
        <w:spacing w:after="0" w:line="240" w:lineRule="auto"/>
        <w:ind w:left="1134" w:right="1185"/>
        <w:jc w:val="both"/>
        <w:rPr>
          <w:rFonts w:ascii="Arial" w:eastAsia="Arial Unicode MS" w:hAnsi="Arial" w:cs="Arial"/>
          <w:lang w:eastAsia="es-ES"/>
        </w:rPr>
      </w:pPr>
    </w:p>
    <w:p w14:paraId="35553526" w14:textId="76F15A7B" w:rsidR="006E58BB" w:rsidRDefault="00D956E5" w:rsidP="00D21027">
      <w:pPr>
        <w:pStyle w:val="ListParagraph"/>
        <w:spacing w:after="0" w:line="240" w:lineRule="auto"/>
        <w:ind w:left="1134" w:right="1185"/>
        <w:jc w:val="both"/>
        <w:rPr>
          <w:rFonts w:ascii="Arial" w:eastAsia="Arial Unicode MS" w:hAnsi="Arial" w:cs="Arial"/>
          <w:lang w:eastAsia="es-ES"/>
        </w:rPr>
      </w:pPr>
      <w:r>
        <w:rPr>
          <w:rFonts w:ascii="Arial" w:eastAsia="Arial Unicode MS" w:hAnsi="Arial" w:cs="Arial"/>
          <w:lang w:eastAsia="es-ES"/>
        </w:rPr>
        <w:t>[</w:t>
      </w:r>
      <w:r w:rsidR="006E58BB">
        <w:rPr>
          <w:rFonts w:ascii="Arial" w:eastAsia="Arial Unicode MS" w:hAnsi="Arial" w:cs="Arial"/>
          <w:lang w:eastAsia="es-ES"/>
        </w:rPr>
        <w:t>…]</w:t>
      </w:r>
    </w:p>
    <w:p w14:paraId="38B5B257" w14:textId="77777777" w:rsidR="006E58BB" w:rsidRDefault="006E58BB" w:rsidP="00D21027">
      <w:pPr>
        <w:pStyle w:val="ListParagraph"/>
        <w:spacing w:after="0" w:line="240" w:lineRule="auto"/>
        <w:ind w:left="1134" w:right="1185"/>
        <w:jc w:val="both"/>
        <w:rPr>
          <w:rFonts w:ascii="Arial" w:eastAsia="Arial Unicode MS" w:hAnsi="Arial" w:cs="Arial"/>
          <w:lang w:eastAsia="es-ES"/>
        </w:rPr>
      </w:pPr>
    </w:p>
    <w:p w14:paraId="29B464C7" w14:textId="77777777" w:rsidR="006E58BB" w:rsidRPr="006E58BB" w:rsidRDefault="006E58BB" w:rsidP="006E58BB">
      <w:pPr>
        <w:spacing w:after="0" w:line="240" w:lineRule="auto"/>
        <w:ind w:right="1185"/>
        <w:jc w:val="both"/>
        <w:rPr>
          <w:rFonts w:ascii="Arial" w:eastAsia="Arial Unicode MS" w:hAnsi="Arial" w:cs="Arial"/>
          <w:lang w:eastAsia="es-ES"/>
        </w:rPr>
      </w:pPr>
    </w:p>
    <w:p w14:paraId="0D777489" w14:textId="4FD3F084" w:rsidR="007F11CA" w:rsidRPr="005475F3" w:rsidRDefault="00035E7E" w:rsidP="008E4105">
      <w:pPr>
        <w:spacing w:after="0" w:line="360" w:lineRule="auto"/>
        <w:ind w:right="51" w:firstLine="708"/>
        <w:jc w:val="both"/>
        <w:rPr>
          <w:rFonts w:ascii="Arial" w:eastAsia="Times New Roman" w:hAnsi="Arial" w:cs="Arial"/>
          <w:sz w:val="24"/>
          <w:szCs w:val="24"/>
          <w:lang w:eastAsia="es-ES"/>
        </w:rPr>
      </w:pPr>
      <w:r w:rsidRPr="00035E7E">
        <w:rPr>
          <w:rFonts w:ascii="Arial" w:eastAsia="Arial Unicode MS" w:hAnsi="Arial" w:cs="Arial"/>
          <w:b/>
          <w:sz w:val="24"/>
          <w:szCs w:val="24"/>
          <w:lang w:eastAsia="es-ES"/>
        </w:rPr>
        <w:t>TERCERO.</w:t>
      </w:r>
      <w:r>
        <w:rPr>
          <w:rFonts w:ascii="Arial" w:eastAsia="Arial Unicode MS" w:hAnsi="Arial" w:cs="Arial"/>
          <w:b/>
          <w:sz w:val="24"/>
          <w:szCs w:val="24"/>
          <w:lang w:eastAsia="es-ES"/>
        </w:rPr>
        <w:t xml:space="preserve"> </w:t>
      </w:r>
      <w:r w:rsidR="0093057A" w:rsidRPr="005475F3">
        <w:rPr>
          <w:rFonts w:ascii="Arial" w:eastAsia="Times New Roman" w:hAnsi="Arial" w:cs="Arial"/>
          <w:b/>
          <w:bCs/>
          <w:sz w:val="24"/>
          <w:szCs w:val="24"/>
          <w:lang w:eastAsia="es-ES"/>
        </w:rPr>
        <w:t xml:space="preserve">Interposición del Recurso de Revisión. </w:t>
      </w:r>
      <w:r w:rsidR="0093057A" w:rsidRPr="005475F3">
        <w:rPr>
          <w:rFonts w:ascii="Arial" w:eastAsia="Times New Roman" w:hAnsi="Arial" w:cs="Arial"/>
          <w:sz w:val="24"/>
          <w:szCs w:val="24"/>
          <w:lang w:eastAsia="es-ES"/>
        </w:rPr>
        <w:t xml:space="preserve">El </w:t>
      </w:r>
      <w:r w:rsidR="00D21027">
        <w:rPr>
          <w:rFonts w:ascii="Arial" w:eastAsia="Times New Roman" w:hAnsi="Arial" w:cs="Arial"/>
          <w:sz w:val="24"/>
          <w:szCs w:val="24"/>
          <w:lang w:eastAsia="es-ES"/>
        </w:rPr>
        <w:t>18 dieciocho</w:t>
      </w:r>
      <w:r w:rsidR="000105B5">
        <w:rPr>
          <w:rFonts w:ascii="Arial" w:eastAsia="Times New Roman" w:hAnsi="Arial" w:cs="Arial"/>
          <w:sz w:val="24"/>
          <w:szCs w:val="24"/>
          <w:lang w:eastAsia="es-ES"/>
        </w:rPr>
        <w:t xml:space="preserve"> de </w:t>
      </w:r>
      <w:r w:rsidR="00D21027">
        <w:rPr>
          <w:rFonts w:ascii="Arial" w:eastAsia="Times New Roman" w:hAnsi="Arial" w:cs="Arial"/>
          <w:sz w:val="24"/>
          <w:szCs w:val="24"/>
          <w:lang w:eastAsia="es-ES"/>
        </w:rPr>
        <w:t xml:space="preserve"> septiembre </w:t>
      </w:r>
      <w:r w:rsidR="005D1245">
        <w:rPr>
          <w:rFonts w:ascii="Arial" w:eastAsia="Times New Roman" w:hAnsi="Arial" w:cs="Arial"/>
          <w:sz w:val="24"/>
          <w:szCs w:val="24"/>
          <w:lang w:eastAsia="es-ES"/>
        </w:rPr>
        <w:t xml:space="preserve">de </w:t>
      </w:r>
      <w:r w:rsidR="00B87D15">
        <w:rPr>
          <w:rFonts w:ascii="Arial" w:eastAsia="Times New Roman" w:hAnsi="Arial" w:cs="Arial"/>
          <w:sz w:val="24"/>
          <w:szCs w:val="24"/>
          <w:lang w:eastAsia="es-ES"/>
        </w:rPr>
        <w:t xml:space="preserve">2026 </w:t>
      </w:r>
      <w:r>
        <w:rPr>
          <w:rFonts w:ascii="Arial" w:eastAsia="Times New Roman" w:hAnsi="Arial" w:cs="Arial"/>
          <w:sz w:val="24"/>
          <w:szCs w:val="24"/>
          <w:lang w:eastAsia="es-ES"/>
        </w:rPr>
        <w:t>dos mil veintiséis</w:t>
      </w:r>
      <w:r w:rsidR="0093057A" w:rsidRPr="005475F3">
        <w:rPr>
          <w:rFonts w:ascii="Arial" w:eastAsia="Times New Roman" w:hAnsi="Arial" w:cs="Arial"/>
          <w:sz w:val="24"/>
          <w:szCs w:val="24"/>
          <w:lang w:eastAsia="es-ES"/>
        </w:rPr>
        <w:t>, este Órgano Garante recibió</w:t>
      </w:r>
      <w:r w:rsidR="005D1245">
        <w:rPr>
          <w:rFonts w:ascii="Arial" w:eastAsia="Times New Roman" w:hAnsi="Arial" w:cs="Arial"/>
          <w:sz w:val="24"/>
          <w:szCs w:val="24"/>
          <w:lang w:eastAsia="es-ES"/>
        </w:rPr>
        <w:t xml:space="preserve">, </w:t>
      </w:r>
      <w:r w:rsidR="0093057A" w:rsidRPr="005475F3">
        <w:rPr>
          <w:rFonts w:ascii="Arial" w:eastAsia="Times New Roman" w:hAnsi="Arial" w:cs="Arial"/>
          <w:sz w:val="24"/>
          <w:szCs w:val="24"/>
          <w:lang w:eastAsia="es-ES"/>
        </w:rPr>
        <w:t xml:space="preserve">el recurso de revisión interpuesto por </w:t>
      </w:r>
      <w:r w:rsidR="00486866">
        <w:rPr>
          <w:rFonts w:ascii="Arial" w:eastAsia="Times New Roman" w:hAnsi="Arial" w:cs="Arial"/>
          <w:sz w:val="24"/>
          <w:szCs w:val="24"/>
          <w:lang w:eastAsia="es-ES"/>
        </w:rPr>
        <w:t>él</w:t>
      </w:r>
      <w:r w:rsidR="0093057A" w:rsidRPr="005475F3">
        <w:rPr>
          <w:rFonts w:ascii="Arial" w:eastAsia="Times New Roman" w:hAnsi="Arial" w:cs="Arial"/>
          <w:sz w:val="24"/>
          <w:szCs w:val="24"/>
          <w:lang w:eastAsia="es-ES"/>
        </w:rPr>
        <w:t xml:space="preserve"> ahora recurrente</w:t>
      </w:r>
      <w:r w:rsidR="008E4105" w:rsidRPr="005475F3">
        <w:rPr>
          <w:rFonts w:ascii="Arial" w:eastAsia="Times New Roman" w:hAnsi="Arial" w:cs="Arial"/>
          <w:sz w:val="24"/>
          <w:szCs w:val="24"/>
          <w:lang w:eastAsia="es-ES"/>
        </w:rPr>
        <w:t>,</w:t>
      </w:r>
      <w:r w:rsidR="0093057A" w:rsidRPr="005475F3">
        <w:rPr>
          <w:rFonts w:ascii="Arial" w:eastAsia="Times New Roman" w:hAnsi="Arial" w:cs="Arial"/>
          <w:sz w:val="24"/>
          <w:szCs w:val="24"/>
          <w:lang w:eastAsia="es-ES"/>
        </w:rPr>
        <w:t xml:space="preserve"> en contra de la </w:t>
      </w:r>
      <w:r>
        <w:rPr>
          <w:rFonts w:ascii="Arial" w:eastAsia="Times New Roman" w:hAnsi="Arial" w:cs="Arial"/>
          <w:sz w:val="24"/>
          <w:szCs w:val="24"/>
          <w:lang w:eastAsia="es-ES"/>
        </w:rPr>
        <w:t>respuesta de la solicitud de información, en la que señaló</w:t>
      </w:r>
      <w:r w:rsidR="00486866">
        <w:rPr>
          <w:rFonts w:ascii="Arial" w:eastAsia="Times New Roman" w:hAnsi="Arial" w:cs="Arial"/>
          <w:sz w:val="24"/>
          <w:szCs w:val="24"/>
          <w:lang w:eastAsia="es-ES"/>
        </w:rPr>
        <w:t xml:space="preserve"> como motivos de queja</w:t>
      </w:r>
      <w:r>
        <w:rPr>
          <w:rFonts w:ascii="Arial" w:eastAsia="Times New Roman" w:hAnsi="Arial" w:cs="Arial"/>
          <w:sz w:val="24"/>
          <w:szCs w:val="24"/>
          <w:lang w:eastAsia="es-ES"/>
        </w:rPr>
        <w:t xml:space="preserve">: </w:t>
      </w:r>
    </w:p>
    <w:p w14:paraId="4455EFED" w14:textId="6D95AB6F" w:rsidR="004736C0" w:rsidRDefault="004736C0" w:rsidP="00A30399">
      <w:pPr>
        <w:spacing w:after="0" w:line="240" w:lineRule="auto"/>
        <w:ind w:left="1134" w:right="1183"/>
        <w:jc w:val="both"/>
        <w:rPr>
          <w:rFonts w:ascii="Arial" w:eastAsia="Arial Unicode MS" w:hAnsi="Arial" w:cs="Arial"/>
          <w:iCs/>
          <w:lang w:eastAsia="es-ES"/>
        </w:rPr>
      </w:pPr>
    </w:p>
    <w:p w14:paraId="19C55423" w14:textId="77777777" w:rsidR="000809BC" w:rsidRDefault="000809BC" w:rsidP="00D21027">
      <w:pPr>
        <w:pStyle w:val="ListParagraph"/>
        <w:spacing w:after="0" w:line="240" w:lineRule="auto"/>
        <w:ind w:left="1134" w:right="1183"/>
        <w:jc w:val="both"/>
        <w:rPr>
          <w:rFonts w:ascii="Arial" w:eastAsia="Arial Unicode MS" w:hAnsi="Arial" w:cs="Arial"/>
          <w:iCs/>
          <w:lang w:eastAsia="es-ES"/>
        </w:rPr>
      </w:pPr>
      <w:r>
        <w:rPr>
          <w:rFonts w:ascii="Arial" w:eastAsia="Arial Unicode MS" w:hAnsi="Arial" w:cs="Arial"/>
          <w:iCs/>
          <w:lang w:eastAsia="es-ES"/>
        </w:rPr>
        <w:t>[…]</w:t>
      </w:r>
    </w:p>
    <w:p w14:paraId="506E4C09" w14:textId="2D119F50" w:rsidR="000809BC" w:rsidRDefault="000809BC" w:rsidP="00D21027">
      <w:pPr>
        <w:pStyle w:val="ListParagraph"/>
        <w:spacing w:after="0" w:line="240" w:lineRule="auto"/>
        <w:ind w:left="1134" w:right="1183"/>
        <w:jc w:val="both"/>
        <w:rPr>
          <w:rFonts w:ascii="Arial" w:eastAsia="Arial Unicode MS" w:hAnsi="Arial" w:cs="Arial"/>
          <w:iCs/>
          <w:lang w:eastAsia="es-ES"/>
        </w:rPr>
      </w:pPr>
    </w:p>
    <w:p w14:paraId="632D5E51" w14:textId="77777777" w:rsidR="00D21027" w:rsidRPr="00D21027" w:rsidRDefault="00D21027" w:rsidP="00D21027">
      <w:pPr>
        <w:pStyle w:val="ListParagraph"/>
        <w:ind w:left="1134" w:right="1183"/>
        <w:jc w:val="both"/>
        <w:rPr>
          <w:rFonts w:ascii="Arial" w:eastAsia="Arial Unicode MS" w:hAnsi="Arial" w:cs="Arial"/>
          <w:iCs/>
          <w:lang w:eastAsia="es-ES"/>
        </w:rPr>
      </w:pPr>
      <w:r w:rsidRPr="00D21027">
        <w:rPr>
          <w:rFonts w:ascii="Arial" w:eastAsia="Arial Unicode MS" w:hAnsi="Arial" w:cs="Arial"/>
          <w:iCs/>
          <w:lang w:eastAsia="es-ES"/>
        </w:rPr>
        <w:t>Se impugna la respuesta de fecha 17 de septiembre de 2026 emitida por la Dirección de Obras Públicas del Ayuntamiento de San Luis Potosí (folio 240474426000534). La autoridad evade su responsabilidad declarándose incompetente de forma improcedente y remitiendo al IMPLAN, cuando por sus atribuciones legales es la encargada de ejecutar la obra pública de movilidad. Asimismo, incurre en una ilegalidad al no realizar una búsqueda exhaustiva, omitir turnar la petición a la Tesorería Municipal para el desglose presupuestal, y no cumplir con el requisito legal de someter la supuesta inexistencia de registros ante su Comité de Transparencia. Se solicita la revocación de la respuesta para que se ordene una búsqueda real en todas las áreas competentes (se adjunta escrito y fundamentos completos en PDF).”.</w:t>
      </w:r>
    </w:p>
    <w:p w14:paraId="49FBD37F" w14:textId="77777777" w:rsidR="000809BC" w:rsidRDefault="000809BC" w:rsidP="00D21027">
      <w:pPr>
        <w:pStyle w:val="ListParagraph"/>
        <w:spacing w:after="0" w:line="240" w:lineRule="auto"/>
        <w:ind w:left="1134" w:right="1183"/>
        <w:jc w:val="both"/>
        <w:rPr>
          <w:rFonts w:ascii="Arial" w:eastAsia="Arial Unicode MS" w:hAnsi="Arial" w:cs="Arial"/>
          <w:iCs/>
          <w:lang w:eastAsia="es-ES"/>
        </w:rPr>
      </w:pPr>
    </w:p>
    <w:p w14:paraId="3F8C21E4" w14:textId="6CE28B03" w:rsidR="00A15869" w:rsidRDefault="00A15869" w:rsidP="00D21027">
      <w:pPr>
        <w:pStyle w:val="ListParagraph"/>
        <w:spacing w:after="0" w:line="240" w:lineRule="auto"/>
        <w:ind w:left="1134" w:right="1183"/>
        <w:jc w:val="both"/>
        <w:rPr>
          <w:rFonts w:ascii="Arial" w:eastAsia="Arial Unicode MS" w:hAnsi="Arial" w:cs="Arial"/>
          <w:iCs/>
          <w:lang w:eastAsia="es-ES"/>
        </w:rPr>
      </w:pPr>
      <w:r>
        <w:rPr>
          <w:rFonts w:ascii="Arial" w:eastAsia="Arial Unicode MS" w:hAnsi="Arial" w:cs="Arial"/>
          <w:iCs/>
          <w:lang w:eastAsia="es-ES"/>
        </w:rPr>
        <w:t>[…]”.</w:t>
      </w:r>
    </w:p>
    <w:p w14:paraId="23BE55F0" w14:textId="77777777" w:rsidR="00A15869" w:rsidRPr="00A15869" w:rsidRDefault="00A15869" w:rsidP="00D21027">
      <w:pPr>
        <w:spacing w:after="0" w:line="240" w:lineRule="auto"/>
        <w:ind w:left="1134" w:right="1183"/>
        <w:jc w:val="both"/>
        <w:rPr>
          <w:rFonts w:ascii="Arial" w:eastAsia="Arial Unicode MS" w:hAnsi="Arial" w:cs="Arial"/>
          <w:iCs/>
          <w:lang w:eastAsia="es-ES"/>
        </w:rPr>
      </w:pPr>
    </w:p>
    <w:p w14:paraId="60528A6E" w14:textId="77777777" w:rsidR="005D1245" w:rsidRPr="005475F3" w:rsidRDefault="005D1245" w:rsidP="00D21027">
      <w:pPr>
        <w:spacing w:after="0" w:line="240" w:lineRule="auto"/>
        <w:ind w:left="1134" w:right="1183"/>
        <w:jc w:val="both"/>
        <w:rPr>
          <w:rFonts w:ascii="Arial" w:eastAsia="Arial Unicode MS" w:hAnsi="Arial" w:cs="Arial"/>
          <w:iCs/>
          <w:lang w:eastAsia="es-ES"/>
        </w:rPr>
      </w:pPr>
    </w:p>
    <w:p w14:paraId="7DE4CBD6" w14:textId="63236675" w:rsidR="0093057A" w:rsidRPr="005475F3" w:rsidRDefault="0093057A" w:rsidP="0093057A">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CUARTO.</w:t>
      </w:r>
      <w:r w:rsidRPr="005475F3">
        <w:rPr>
          <w:rFonts w:ascii="Arial" w:eastAsia="Times New Roman" w:hAnsi="Arial" w:cs="Arial"/>
          <w:sz w:val="24"/>
          <w:szCs w:val="24"/>
          <w:lang w:eastAsia="es-ES"/>
        </w:rPr>
        <w:t xml:space="preserve"> </w:t>
      </w:r>
      <w:r w:rsidRPr="005475F3">
        <w:rPr>
          <w:rFonts w:ascii="Arial" w:eastAsia="Times New Roman" w:hAnsi="Arial" w:cs="Arial"/>
          <w:b/>
          <w:bCs/>
          <w:sz w:val="24"/>
          <w:szCs w:val="24"/>
          <w:lang w:eastAsia="es-ES"/>
        </w:rPr>
        <w:t>Turno.</w:t>
      </w:r>
      <w:r w:rsidRPr="005475F3">
        <w:rPr>
          <w:rFonts w:ascii="Arial" w:eastAsia="Times New Roman" w:hAnsi="Arial" w:cs="Arial"/>
          <w:sz w:val="24"/>
          <w:szCs w:val="24"/>
          <w:lang w:eastAsia="es-ES"/>
        </w:rPr>
        <w:t xml:space="preserve"> El </w:t>
      </w:r>
      <w:r w:rsidR="00D21027">
        <w:rPr>
          <w:rFonts w:ascii="Arial" w:eastAsia="Times New Roman" w:hAnsi="Arial" w:cs="Arial"/>
          <w:sz w:val="24"/>
          <w:szCs w:val="24"/>
          <w:lang w:eastAsia="es-ES"/>
        </w:rPr>
        <w:t xml:space="preserve">18 dieciocho de septiembre </w:t>
      </w:r>
      <w:r w:rsidR="002433CA">
        <w:rPr>
          <w:rFonts w:ascii="Arial" w:eastAsia="Times New Roman" w:hAnsi="Arial" w:cs="Arial"/>
          <w:sz w:val="24"/>
          <w:szCs w:val="24"/>
          <w:lang w:eastAsia="es-ES"/>
        </w:rPr>
        <w:t xml:space="preserve">de </w:t>
      </w:r>
      <w:r w:rsidR="00B87D15">
        <w:rPr>
          <w:rFonts w:ascii="Arial" w:eastAsia="Times New Roman" w:hAnsi="Arial" w:cs="Arial"/>
          <w:sz w:val="24"/>
          <w:szCs w:val="24"/>
          <w:lang w:eastAsia="es-ES"/>
        </w:rPr>
        <w:t>2026</w:t>
      </w:r>
      <w:r w:rsidR="00137098" w:rsidRPr="005475F3">
        <w:rPr>
          <w:rFonts w:ascii="Arial" w:eastAsia="Times New Roman" w:hAnsi="Arial" w:cs="Arial"/>
          <w:sz w:val="24"/>
          <w:szCs w:val="24"/>
          <w:lang w:eastAsia="es-ES"/>
        </w:rPr>
        <w:t xml:space="preserve"> </w:t>
      </w:r>
      <w:r w:rsidR="008E4105" w:rsidRPr="005475F3">
        <w:rPr>
          <w:rFonts w:ascii="Arial" w:eastAsia="Times New Roman" w:hAnsi="Arial" w:cs="Arial"/>
          <w:sz w:val="24"/>
          <w:szCs w:val="24"/>
          <w:lang w:eastAsia="es-ES"/>
        </w:rPr>
        <w:t>dos mil veinti</w:t>
      </w:r>
      <w:r w:rsidR="00137098" w:rsidRPr="005475F3">
        <w:rPr>
          <w:rFonts w:ascii="Arial" w:eastAsia="Times New Roman" w:hAnsi="Arial" w:cs="Arial"/>
          <w:sz w:val="24"/>
          <w:szCs w:val="24"/>
          <w:lang w:eastAsia="es-ES"/>
        </w:rPr>
        <w:t>séis</w:t>
      </w:r>
      <w:r w:rsidR="008E4105" w:rsidRPr="005475F3">
        <w:rPr>
          <w:rFonts w:ascii="Arial" w:eastAsia="Times New Roman" w:hAnsi="Arial" w:cs="Arial"/>
          <w:sz w:val="24"/>
          <w:szCs w:val="24"/>
          <w:lang w:eastAsia="es-ES"/>
        </w:rPr>
        <w:t>,</w:t>
      </w:r>
      <w:r w:rsidRPr="005475F3">
        <w:rPr>
          <w:rFonts w:ascii="Arial" w:eastAsia="Times New Roman" w:hAnsi="Arial" w:cs="Arial"/>
          <w:sz w:val="24"/>
          <w:szCs w:val="24"/>
          <w:lang w:eastAsia="es-ES"/>
        </w:rPr>
        <w:t xml:space="preserve"> de conformidad con el artículo 174, fracción I de la Ley de Transparencia y Acceso a la Información Pública del Estado, el Recurso de Revisió</w:t>
      </w:r>
      <w:r w:rsidR="008E4105" w:rsidRPr="005475F3">
        <w:rPr>
          <w:rFonts w:ascii="Arial" w:eastAsia="Times New Roman" w:hAnsi="Arial" w:cs="Arial"/>
          <w:sz w:val="24"/>
          <w:szCs w:val="24"/>
          <w:lang w:eastAsia="es-ES"/>
        </w:rPr>
        <w:t>n que se resuelve fue turnado a</w:t>
      </w:r>
      <w:r w:rsidR="002433CA">
        <w:rPr>
          <w:rFonts w:ascii="Arial" w:eastAsia="Times New Roman" w:hAnsi="Arial" w:cs="Arial"/>
          <w:sz w:val="24"/>
          <w:szCs w:val="24"/>
          <w:lang w:eastAsia="es-ES"/>
        </w:rPr>
        <w:t xml:space="preserve"> </w:t>
      </w:r>
      <w:r w:rsidRPr="005475F3">
        <w:rPr>
          <w:rFonts w:ascii="Arial" w:eastAsia="Times New Roman" w:hAnsi="Arial" w:cs="Arial"/>
          <w:sz w:val="24"/>
          <w:szCs w:val="24"/>
          <w:lang w:eastAsia="es-ES"/>
        </w:rPr>
        <w:t>l</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Comisionad</w:t>
      </w:r>
      <w:r w:rsidR="002433CA">
        <w:rPr>
          <w:rFonts w:ascii="Arial" w:eastAsia="Times New Roman" w:hAnsi="Arial" w:cs="Arial"/>
          <w:sz w:val="24"/>
          <w:szCs w:val="24"/>
          <w:lang w:eastAsia="es-ES"/>
        </w:rPr>
        <w:t>a</w:t>
      </w:r>
      <w:r w:rsidRPr="005475F3">
        <w:rPr>
          <w:rFonts w:ascii="Arial" w:eastAsia="Times New Roman" w:hAnsi="Arial" w:cs="Arial"/>
          <w:sz w:val="24"/>
          <w:szCs w:val="24"/>
          <w:lang w:eastAsia="es-ES"/>
        </w:rPr>
        <w:t xml:space="preserve"> Ponente, para el análisis de su admisión o desechamiento. </w:t>
      </w:r>
    </w:p>
    <w:p w14:paraId="4D6CD6B7" w14:textId="77777777" w:rsidR="0093057A" w:rsidRPr="005475F3" w:rsidRDefault="0093057A" w:rsidP="0093057A">
      <w:pPr>
        <w:spacing w:after="0" w:line="360" w:lineRule="auto"/>
        <w:jc w:val="both"/>
        <w:rPr>
          <w:rFonts w:ascii="Arial" w:eastAsia="Times New Roman" w:hAnsi="Arial" w:cs="Arial"/>
          <w:b/>
          <w:sz w:val="24"/>
          <w:szCs w:val="24"/>
          <w:lang w:eastAsia="es-ES"/>
        </w:rPr>
      </w:pPr>
    </w:p>
    <w:p w14:paraId="6375FBA0" w14:textId="2BFD0187" w:rsidR="0093057A" w:rsidRPr="005475F3" w:rsidRDefault="0093057A" w:rsidP="00CB0B39">
      <w:pPr>
        <w:spacing w:after="0" w:line="360" w:lineRule="auto"/>
        <w:ind w:firstLine="708"/>
        <w:jc w:val="both"/>
        <w:rPr>
          <w:rFonts w:ascii="Arial" w:eastAsia="Times New Roman" w:hAnsi="Arial" w:cs="Arial"/>
          <w:b/>
          <w:bCs/>
          <w:sz w:val="24"/>
          <w:szCs w:val="24"/>
          <w:lang w:eastAsia="es-ES"/>
        </w:rPr>
      </w:pPr>
      <w:r w:rsidRPr="005475F3">
        <w:rPr>
          <w:rFonts w:ascii="Arial" w:eastAsia="Times New Roman" w:hAnsi="Arial" w:cs="Arial"/>
          <w:b/>
          <w:sz w:val="24"/>
          <w:szCs w:val="24"/>
          <w:lang w:eastAsia="es-ES"/>
        </w:rPr>
        <w:t>QUINTO.</w:t>
      </w:r>
      <w:r w:rsidRPr="005475F3">
        <w:rPr>
          <w:rFonts w:ascii="Arial" w:eastAsia="Times New Roman" w:hAnsi="Arial" w:cs="Arial"/>
          <w:sz w:val="24"/>
          <w:szCs w:val="24"/>
          <w:lang w:eastAsia="es-ES"/>
        </w:rPr>
        <w:t xml:space="preserve"> </w:t>
      </w:r>
      <w:r w:rsidR="00363337" w:rsidRPr="005475F3">
        <w:rPr>
          <w:rFonts w:ascii="Arial" w:eastAsia="Times New Roman" w:hAnsi="Arial" w:cs="Arial"/>
          <w:b/>
          <w:bCs/>
          <w:sz w:val="24"/>
          <w:szCs w:val="24"/>
          <w:lang w:eastAsia="es-ES"/>
        </w:rPr>
        <w:t>A</w:t>
      </w:r>
      <w:r w:rsidRPr="005475F3">
        <w:rPr>
          <w:rFonts w:ascii="Arial" w:eastAsia="Times New Roman" w:hAnsi="Arial" w:cs="Arial"/>
          <w:b/>
          <w:bCs/>
          <w:sz w:val="24"/>
          <w:szCs w:val="24"/>
          <w:lang w:eastAsia="es-ES"/>
        </w:rPr>
        <w:t xml:space="preserve">dmisión y trámite. </w:t>
      </w:r>
      <w:r w:rsidRPr="005475F3">
        <w:rPr>
          <w:rFonts w:ascii="Arial" w:eastAsia="Times New Roman" w:hAnsi="Arial" w:cs="Arial"/>
          <w:sz w:val="24"/>
          <w:szCs w:val="24"/>
          <w:lang w:eastAsia="es-ES"/>
        </w:rPr>
        <w:t xml:space="preserve">El </w:t>
      </w:r>
      <w:r w:rsidR="00D21027">
        <w:rPr>
          <w:rFonts w:ascii="Arial" w:eastAsia="Times New Roman" w:hAnsi="Arial" w:cs="Arial"/>
          <w:sz w:val="24"/>
          <w:szCs w:val="24"/>
          <w:lang w:eastAsia="es-ES"/>
        </w:rPr>
        <w:t>22 veintidós de septiembre</w:t>
      </w:r>
      <w:r w:rsidR="000B47F3">
        <w:rPr>
          <w:rFonts w:ascii="Arial" w:eastAsia="Times New Roman" w:hAnsi="Arial" w:cs="Arial"/>
          <w:sz w:val="24"/>
          <w:szCs w:val="24"/>
          <w:lang w:eastAsia="es-ES"/>
        </w:rPr>
        <w:t xml:space="preserve"> </w:t>
      </w:r>
      <w:r w:rsidR="0007486E">
        <w:rPr>
          <w:rFonts w:ascii="Arial" w:eastAsia="Times New Roman" w:hAnsi="Arial" w:cs="Arial"/>
          <w:sz w:val="24"/>
          <w:szCs w:val="24"/>
          <w:lang w:eastAsia="es-ES"/>
        </w:rPr>
        <w:t>de 2026</w:t>
      </w:r>
      <w:r w:rsidR="0007486E" w:rsidRPr="005475F3">
        <w:rPr>
          <w:rFonts w:ascii="Arial" w:eastAsia="Times New Roman" w:hAnsi="Arial" w:cs="Arial"/>
          <w:sz w:val="24"/>
          <w:szCs w:val="24"/>
          <w:lang w:eastAsia="es-ES"/>
        </w:rPr>
        <w:t xml:space="preserve"> dos mil veintiséis,</w:t>
      </w:r>
      <w:r w:rsidRPr="005475F3">
        <w:rPr>
          <w:rFonts w:ascii="Arial" w:eastAsia="Times New Roman" w:hAnsi="Arial" w:cs="Arial"/>
          <w:sz w:val="24"/>
          <w:szCs w:val="24"/>
          <w:lang w:eastAsia="es-ES"/>
        </w:rPr>
        <w:t xml:space="preserve"> </w:t>
      </w:r>
      <w:r w:rsidR="00CB0B39" w:rsidRPr="005475F3">
        <w:rPr>
          <w:rFonts w:ascii="Arial" w:eastAsia="Times New Roman" w:hAnsi="Arial" w:cs="Arial"/>
          <w:sz w:val="24"/>
          <w:szCs w:val="24"/>
          <w:lang w:eastAsia="es-ES"/>
        </w:rPr>
        <w:t>se</w:t>
      </w:r>
      <w:r w:rsidRPr="005475F3">
        <w:rPr>
          <w:rFonts w:ascii="Arial" w:eastAsia="Times New Roman" w:hAnsi="Arial" w:cs="Arial"/>
          <w:sz w:val="24"/>
          <w:szCs w:val="24"/>
          <w:lang w:eastAsia="es-ES"/>
        </w:rPr>
        <w:t xml:space="preserve"> admitió el presente medio de impugnación por actualizarse la </w:t>
      </w:r>
      <w:r w:rsidRPr="005475F3">
        <w:rPr>
          <w:rFonts w:ascii="Arial" w:eastAsia="Times New Roman" w:hAnsi="Arial" w:cs="Arial"/>
          <w:sz w:val="24"/>
          <w:szCs w:val="24"/>
          <w:lang w:eastAsia="es-ES"/>
        </w:rPr>
        <w:lastRenderedPageBreak/>
        <w:t xml:space="preserve">hipótesis </w:t>
      </w:r>
      <w:r w:rsidR="008E4105" w:rsidRPr="005475F3">
        <w:rPr>
          <w:rFonts w:ascii="Arial" w:eastAsia="Times New Roman" w:hAnsi="Arial" w:cs="Arial"/>
          <w:sz w:val="24"/>
          <w:szCs w:val="24"/>
          <w:lang w:eastAsia="es-ES"/>
        </w:rPr>
        <w:t>contemplada en</w:t>
      </w:r>
      <w:r w:rsidR="000B47F3">
        <w:rPr>
          <w:rFonts w:ascii="Arial" w:eastAsia="Times New Roman" w:hAnsi="Arial" w:cs="Arial"/>
          <w:sz w:val="24"/>
          <w:szCs w:val="24"/>
          <w:lang w:eastAsia="es-ES"/>
        </w:rPr>
        <w:t xml:space="preserve"> la fracci</w:t>
      </w:r>
      <w:r w:rsidR="00D21027">
        <w:rPr>
          <w:rFonts w:ascii="Arial" w:eastAsia="Times New Roman" w:hAnsi="Arial" w:cs="Arial"/>
          <w:sz w:val="24"/>
          <w:szCs w:val="24"/>
          <w:lang w:eastAsia="es-ES"/>
        </w:rPr>
        <w:t>ón III</w:t>
      </w:r>
      <w:r w:rsidR="002433CA">
        <w:rPr>
          <w:rFonts w:ascii="Arial" w:eastAsia="Times New Roman" w:hAnsi="Arial" w:cs="Arial"/>
          <w:sz w:val="24"/>
          <w:szCs w:val="24"/>
          <w:lang w:eastAsia="es-ES"/>
        </w:rPr>
        <w:t xml:space="preserve"> </w:t>
      </w:r>
      <w:r w:rsidRPr="005475F3">
        <w:rPr>
          <w:rFonts w:ascii="Arial" w:eastAsia="Times New Roman" w:hAnsi="Arial" w:cs="Arial"/>
          <w:sz w:val="24"/>
          <w:szCs w:val="24"/>
          <w:lang w:eastAsia="es-ES"/>
        </w:rPr>
        <w:t xml:space="preserve">del artículo 167 de la Ley de Transparencia y Acceso a la Información Pública del Estado, </w:t>
      </w:r>
      <w:r w:rsidR="00CB0B39" w:rsidRPr="005475F3">
        <w:rPr>
          <w:rFonts w:ascii="Arial" w:eastAsia="Times New Roman" w:hAnsi="Arial" w:cs="Arial"/>
          <w:sz w:val="24"/>
          <w:szCs w:val="24"/>
          <w:lang w:eastAsia="es-ES"/>
        </w:rPr>
        <w:t>asimismo se</w:t>
      </w:r>
      <w:r w:rsidRPr="005475F3">
        <w:rPr>
          <w:rFonts w:ascii="Arial" w:eastAsia="Times New Roman" w:hAnsi="Arial" w:cs="Arial"/>
          <w:sz w:val="24"/>
          <w:szCs w:val="24"/>
          <w:lang w:eastAsia="es-ES"/>
        </w:rPr>
        <w:t xml:space="preserve"> puso</w:t>
      </w:r>
      <w:r w:rsidR="00CB0B39" w:rsidRPr="005475F3">
        <w:rPr>
          <w:rFonts w:ascii="Arial" w:eastAsia="Times New Roman" w:hAnsi="Arial" w:cs="Arial"/>
          <w:sz w:val="24"/>
          <w:szCs w:val="24"/>
          <w:lang w:eastAsia="es-ES"/>
        </w:rPr>
        <w:t xml:space="preserve"> el expediente</w:t>
      </w:r>
      <w:r w:rsidRPr="005475F3">
        <w:rPr>
          <w:rFonts w:ascii="Arial" w:eastAsia="Times New Roman" w:hAnsi="Arial" w:cs="Arial"/>
          <w:sz w:val="24"/>
          <w:szCs w:val="24"/>
          <w:lang w:eastAsia="es-ES"/>
        </w:rPr>
        <w:t xml:space="preserve"> a disposición de las partes para que en el plazo que reconoce la ley manifestaran lo que a su derecho conviniera y ofrecieran las pruebas que consideraran pertinentes, esto según lo dispuesto en la fracción II y III del artículo 174 de la Ley de Transparencia Local. </w:t>
      </w:r>
    </w:p>
    <w:p w14:paraId="40431E77" w14:textId="77777777" w:rsidR="0093057A" w:rsidRPr="005475F3" w:rsidRDefault="0093057A" w:rsidP="0093057A">
      <w:pPr>
        <w:spacing w:after="0" w:line="360" w:lineRule="auto"/>
        <w:ind w:firstLine="708"/>
        <w:jc w:val="both"/>
        <w:rPr>
          <w:rFonts w:ascii="Arial" w:eastAsia="Times New Roman" w:hAnsi="Arial" w:cs="Arial"/>
          <w:sz w:val="24"/>
          <w:szCs w:val="24"/>
          <w:lang w:eastAsia="es-ES"/>
        </w:rPr>
      </w:pPr>
    </w:p>
    <w:p w14:paraId="48E68E4D" w14:textId="7593D49A" w:rsidR="00D21027" w:rsidRDefault="008E4105" w:rsidP="00ED2CEE">
      <w:pPr>
        <w:spacing w:after="0" w:line="360" w:lineRule="auto"/>
        <w:ind w:firstLine="708"/>
        <w:jc w:val="both"/>
        <w:rPr>
          <w:rFonts w:ascii="Arial" w:eastAsia="Times New Roman" w:hAnsi="Arial" w:cs="Arial"/>
          <w:sz w:val="24"/>
          <w:szCs w:val="24"/>
          <w:lang w:eastAsia="es-ES"/>
        </w:rPr>
      </w:pPr>
      <w:r w:rsidRPr="005475F3">
        <w:rPr>
          <w:rFonts w:ascii="Arial" w:eastAsia="Times New Roman" w:hAnsi="Arial" w:cs="Arial"/>
          <w:b/>
          <w:sz w:val="24"/>
          <w:szCs w:val="24"/>
          <w:lang w:eastAsia="es-ES"/>
        </w:rPr>
        <w:t>SEXTO</w:t>
      </w:r>
      <w:r w:rsidR="0093057A" w:rsidRPr="005475F3">
        <w:rPr>
          <w:rFonts w:ascii="Arial" w:eastAsia="Times New Roman" w:hAnsi="Arial" w:cs="Arial"/>
          <w:b/>
          <w:sz w:val="24"/>
          <w:szCs w:val="24"/>
          <w:lang w:eastAsia="es-ES"/>
        </w:rPr>
        <w:t xml:space="preserve">. </w:t>
      </w:r>
      <w:r w:rsidR="0093057A" w:rsidRPr="005475F3">
        <w:rPr>
          <w:rFonts w:ascii="Arial" w:eastAsia="Times New Roman" w:hAnsi="Arial" w:cs="Arial"/>
          <w:b/>
          <w:bCs/>
          <w:sz w:val="24"/>
          <w:szCs w:val="24"/>
          <w:lang w:eastAsia="es-ES"/>
        </w:rPr>
        <w:t>Manifestaci</w:t>
      </w:r>
      <w:r w:rsidR="00FE3C7E" w:rsidRPr="005475F3">
        <w:rPr>
          <w:rFonts w:ascii="Arial" w:eastAsia="Times New Roman" w:hAnsi="Arial" w:cs="Arial"/>
          <w:b/>
          <w:bCs/>
          <w:sz w:val="24"/>
          <w:szCs w:val="24"/>
          <w:lang w:eastAsia="es-ES"/>
        </w:rPr>
        <w:t>ón</w:t>
      </w:r>
      <w:r w:rsidR="0093057A" w:rsidRPr="005475F3">
        <w:rPr>
          <w:rFonts w:ascii="Arial" w:eastAsia="Times New Roman" w:hAnsi="Arial" w:cs="Arial"/>
          <w:b/>
          <w:bCs/>
          <w:sz w:val="24"/>
          <w:szCs w:val="24"/>
          <w:lang w:eastAsia="es-ES"/>
        </w:rPr>
        <w:t xml:space="preserve"> de las partes. </w:t>
      </w:r>
      <w:r w:rsidR="00035E7E" w:rsidRPr="00B80685">
        <w:rPr>
          <w:rFonts w:ascii="Arial" w:eastAsia="Times New Roman" w:hAnsi="Arial" w:cs="Arial"/>
          <w:bCs/>
          <w:sz w:val="24"/>
          <w:szCs w:val="24"/>
          <w:lang w:eastAsia="es-ES"/>
        </w:rPr>
        <w:t xml:space="preserve">El </w:t>
      </w:r>
      <w:r w:rsidR="00D21027">
        <w:rPr>
          <w:rFonts w:ascii="Arial" w:eastAsia="Times New Roman" w:hAnsi="Arial" w:cs="Arial"/>
          <w:bCs/>
          <w:sz w:val="24"/>
          <w:szCs w:val="24"/>
          <w:lang w:eastAsia="es-ES"/>
        </w:rPr>
        <w:t xml:space="preserve">06 seis de octubre </w:t>
      </w:r>
      <w:r w:rsidR="000B47F3" w:rsidRPr="00B80685">
        <w:rPr>
          <w:rFonts w:ascii="Arial" w:eastAsia="Times New Roman" w:hAnsi="Arial" w:cs="Arial"/>
          <w:bCs/>
          <w:sz w:val="24"/>
          <w:szCs w:val="24"/>
          <w:lang w:eastAsia="es-ES"/>
        </w:rPr>
        <w:t>de</w:t>
      </w:r>
      <w:r w:rsidR="0007486E" w:rsidRPr="00B80685">
        <w:rPr>
          <w:rFonts w:ascii="Arial" w:eastAsia="Times New Roman" w:hAnsi="Arial" w:cs="Arial"/>
          <w:bCs/>
          <w:sz w:val="24"/>
          <w:szCs w:val="24"/>
          <w:lang w:eastAsia="es-ES"/>
        </w:rPr>
        <w:t xml:space="preserve"> 2026 dos</w:t>
      </w:r>
      <w:r w:rsidR="00137098" w:rsidRPr="00B80685">
        <w:rPr>
          <w:rFonts w:ascii="Arial" w:eastAsia="Times New Roman" w:hAnsi="Arial" w:cs="Arial"/>
          <w:sz w:val="24"/>
          <w:szCs w:val="24"/>
          <w:lang w:eastAsia="es-ES"/>
        </w:rPr>
        <w:t xml:space="preserve"> mil veintiséis</w:t>
      </w:r>
      <w:r w:rsidR="0093057A" w:rsidRPr="00B80685">
        <w:rPr>
          <w:rFonts w:ascii="Arial" w:eastAsia="Times New Roman" w:hAnsi="Arial" w:cs="Arial"/>
          <w:sz w:val="24"/>
          <w:szCs w:val="24"/>
          <w:lang w:eastAsia="es-ES"/>
        </w:rPr>
        <w:t xml:space="preserve">, </w:t>
      </w:r>
      <w:r w:rsidR="00035E7E" w:rsidRPr="00B80685">
        <w:rPr>
          <w:rFonts w:ascii="Arial" w:eastAsia="Times New Roman" w:hAnsi="Arial" w:cs="Arial"/>
          <w:sz w:val="24"/>
          <w:szCs w:val="24"/>
          <w:lang w:eastAsia="es-ES"/>
        </w:rPr>
        <w:t xml:space="preserve">se dictó un proveído en el que se </w:t>
      </w:r>
      <w:r w:rsidR="0093057A" w:rsidRPr="00B80685">
        <w:rPr>
          <w:rFonts w:ascii="Arial" w:eastAsia="Times New Roman" w:hAnsi="Arial" w:cs="Arial"/>
          <w:sz w:val="24"/>
          <w:szCs w:val="24"/>
          <w:lang w:eastAsia="es-ES"/>
        </w:rPr>
        <w:t>tuvo por recibido el oficio</w:t>
      </w:r>
      <w:r w:rsidR="000B47F3" w:rsidRPr="00B80685">
        <w:rPr>
          <w:rFonts w:ascii="Arial" w:eastAsia="Times New Roman" w:hAnsi="Arial" w:cs="Arial"/>
          <w:sz w:val="24"/>
          <w:szCs w:val="24"/>
          <w:lang w:eastAsia="es-ES"/>
        </w:rPr>
        <w:t xml:space="preserve"> </w:t>
      </w:r>
      <w:r w:rsidR="000105B5">
        <w:rPr>
          <w:rFonts w:ascii="Arial" w:eastAsia="Times New Roman" w:hAnsi="Arial" w:cs="Arial"/>
          <w:sz w:val="24"/>
          <w:szCs w:val="24"/>
          <w:lang w:eastAsia="es-ES"/>
        </w:rPr>
        <w:t xml:space="preserve">UT/ </w:t>
      </w:r>
      <w:r w:rsidR="00D21027">
        <w:rPr>
          <w:rFonts w:ascii="Arial" w:eastAsia="Times New Roman" w:hAnsi="Arial" w:cs="Arial"/>
          <w:sz w:val="24"/>
          <w:szCs w:val="24"/>
          <w:lang w:eastAsia="es-ES"/>
        </w:rPr>
        <w:t>1100</w:t>
      </w:r>
      <w:r w:rsidR="000105B5">
        <w:rPr>
          <w:rFonts w:ascii="Arial" w:eastAsia="Times New Roman" w:hAnsi="Arial" w:cs="Arial"/>
          <w:sz w:val="24"/>
          <w:szCs w:val="24"/>
          <w:lang w:eastAsia="es-ES"/>
        </w:rPr>
        <w:t>/2026</w:t>
      </w:r>
      <w:r w:rsidR="000B47F3" w:rsidRPr="00B80685">
        <w:rPr>
          <w:rFonts w:ascii="Arial" w:eastAsia="Times New Roman" w:hAnsi="Arial" w:cs="Arial"/>
          <w:sz w:val="24"/>
          <w:szCs w:val="24"/>
          <w:lang w:eastAsia="es-ES"/>
        </w:rPr>
        <w:t>, suscrito por el Titular de la Unidad de Transparencia de</w:t>
      </w:r>
      <w:r w:rsidR="000105B5">
        <w:rPr>
          <w:rFonts w:ascii="Arial" w:eastAsia="Times New Roman" w:hAnsi="Arial" w:cs="Arial"/>
          <w:sz w:val="24"/>
          <w:szCs w:val="24"/>
          <w:lang w:eastAsia="es-ES"/>
        </w:rPr>
        <w:t xml:space="preserve">l Municipio de San Luis Potosí, </w:t>
      </w:r>
      <w:r w:rsidR="006D4436" w:rsidRPr="00B80685">
        <w:rPr>
          <w:rFonts w:ascii="Arial" w:eastAsia="Times New Roman" w:hAnsi="Arial" w:cs="Arial"/>
          <w:sz w:val="24"/>
          <w:szCs w:val="24"/>
          <w:lang w:eastAsia="es-ES"/>
        </w:rPr>
        <w:t xml:space="preserve">por el cual, </w:t>
      </w:r>
      <w:r w:rsidR="000105B5">
        <w:rPr>
          <w:rFonts w:ascii="Arial" w:eastAsia="Times New Roman" w:hAnsi="Arial" w:cs="Arial"/>
          <w:sz w:val="24"/>
          <w:szCs w:val="24"/>
          <w:lang w:eastAsia="es-ES"/>
        </w:rPr>
        <w:t>señaló conforme a su derecho</w:t>
      </w:r>
      <w:r w:rsidR="00D21027">
        <w:rPr>
          <w:rFonts w:ascii="Arial" w:eastAsia="Times New Roman" w:hAnsi="Arial" w:cs="Arial"/>
          <w:sz w:val="24"/>
          <w:szCs w:val="24"/>
          <w:lang w:eastAsia="es-ES"/>
        </w:rPr>
        <w:t xml:space="preserve">, lo siguiente: </w:t>
      </w:r>
    </w:p>
    <w:p w14:paraId="43500411" w14:textId="35A71FD0" w:rsidR="00D21027" w:rsidRDefault="00D21027" w:rsidP="00ED2CEE">
      <w:pPr>
        <w:spacing w:after="0" w:line="360" w:lineRule="auto"/>
        <w:ind w:firstLine="708"/>
        <w:jc w:val="both"/>
        <w:rPr>
          <w:rFonts w:ascii="Arial" w:eastAsia="Times New Roman" w:hAnsi="Arial" w:cs="Arial"/>
          <w:sz w:val="24"/>
          <w:szCs w:val="24"/>
          <w:lang w:eastAsia="es-ES"/>
        </w:rPr>
      </w:pPr>
    </w:p>
    <w:p w14:paraId="75ABF5D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 xml:space="preserve">En virtud de lo anterior, y bajo una estricta política de transparencia proactiva orientada a maximizar la eficacia del derecho fundamental de acceso a la información, esta Unidad de Transparencia procede a emitir y notificar a la persona solicitante una nueva respuesta debidamente fundada y motivada respecto a la solicitud de información identificada al rubro. </w:t>
      </w:r>
      <w:r w:rsidRPr="00D21027">
        <w:rPr>
          <w:rFonts w:ascii="Arial" w:eastAsia="Times New Roman" w:hAnsi="Arial" w:cs="Arial"/>
          <w:i/>
          <w:iCs/>
          <w:lang w:eastAsia="es-ES"/>
        </w:rPr>
        <w:t>Esta determinación tiene por objeto primordial revestir de plena legalidad, certeza y seguridad jurídica la actuación frente a la cual se manifestó inconformidad, robusteciendo de manera integral los elementos de convicción aportados en el acto administrativo primigenio, a efecto de tutelar y garantizar materialmente el ejercicio del derecho humano de acceso a la información</w:t>
      </w:r>
      <w:r w:rsidRPr="00D21027">
        <w:rPr>
          <w:rFonts w:ascii="Arial" w:eastAsia="Times New Roman" w:hAnsi="Arial" w:cs="Arial"/>
          <w:b/>
          <w:bCs/>
          <w:i/>
          <w:iCs/>
          <w:lang w:eastAsia="es-ES"/>
        </w:rPr>
        <w:t> </w:t>
      </w:r>
      <w:r w:rsidRPr="00D21027">
        <w:rPr>
          <w:rFonts w:ascii="Arial" w:eastAsia="Times New Roman" w:hAnsi="Arial" w:cs="Arial"/>
          <w:i/>
          <w:iCs/>
          <w:lang w:eastAsia="es-ES"/>
        </w:rPr>
        <w:t>pública.</w:t>
      </w:r>
    </w:p>
    <w:p w14:paraId="61022A9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B28D0C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u w:val="single"/>
          <w:lang w:eastAsia="es-ES"/>
        </w:rPr>
        <w:t>Lo anterior se formula sin perjuicio de reiterar la incompetencia material que este sujeto obligado ostenta para pronunciarse sobre el fondo sustantivo del requerimiento, toda vez que, conforme al marco competencial vigente, se desahogó oportunamente la gestión interna ante el área administrativa competente de la administración pública municipal facultada en el proceso de ejecución y resguardo técnico respectivo.</w:t>
      </w:r>
    </w:p>
    <w:p w14:paraId="57DE27A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0A4F95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Ahora bien, de manera previa a dar cuenta puntual a la persona solicitante del alcance y contenido formal del oficio DOP/CJ/1310/2026 emitido por la Dirección de Obras Públicas del Ayuntamiento de San Luis Potosí con motivo de las gestiones señaladas, resulta jurídicamente indispensable precisar que el Municipio de San Luis Potosí no se encuentra constreñido a generar respuestas o documentos ad hoc. Es decir, no existe mandato normativo que imponga a las dependencias municipales el deber de procesar, confeccionar, resumir, cruzar variables analíticas o adecuar la información a las necesidades de interés particular o a los esquemas y formatos preconcebidos por el particular requirente.</w:t>
      </w:r>
    </w:p>
    <w:p w14:paraId="53FDF16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502370E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En este orden de ideas, la obligación de este sujeto obligado se circunscribe a otorgar el acceso a los registros en su estricta </w:t>
      </w:r>
      <w:r w:rsidRPr="00D21027">
        <w:rPr>
          <w:rFonts w:ascii="Arial" w:eastAsia="Times New Roman" w:hAnsi="Arial" w:cs="Arial"/>
          <w:i/>
          <w:iCs/>
          <w:lang w:eastAsia="es-ES"/>
        </w:rPr>
        <w:lastRenderedPageBreak/>
        <w:t>expresión documental, poniendo a disposición del gobernado aquellos expedientes, actas o constancias que efectivamente obren en los archivos institucionales en el estado, soporte y modalidad técnica en que se hallen, tal como lo estatuyen expresamente los artículos 59, 60, 61 y 151 de la Ley de Transparencia y Acceso a la Información Pública del Estado de San Luis Potosí, preceptos que a la letra disponen:</w:t>
      </w:r>
    </w:p>
    <w:p w14:paraId="7AAF742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ARTÍCULO 59.</w:t>
      </w:r>
      <w:r w:rsidRPr="00D21027">
        <w:rPr>
          <w:rFonts w:ascii="Arial" w:eastAsia="Times New Roman" w:hAnsi="Arial" w:cs="Arial"/>
          <w:i/>
          <w:iCs/>
          <w:lang w:eastAsia="es-ES"/>
        </w:rPr>
        <w:t> Los sujetos obligados deben proporcionar la información solicitada en la modalidad en que se encuentre. Cuando la información requerida se encuentre en dos o más tipos de formatos, el solicitante elegirá entre los formatos, para la entrega correspondiente.</w:t>
      </w:r>
    </w:p>
    <w:p w14:paraId="38090B3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4E00E6D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ARTÍCULO 60.</w:t>
      </w:r>
      <w:r w:rsidRPr="00D21027">
        <w:rPr>
          <w:rFonts w:ascii="Arial" w:eastAsia="Times New Roman" w:hAnsi="Arial" w:cs="Arial"/>
          <w:i/>
          <w:iCs/>
          <w:lang w:eastAsia="es-ES"/>
        </w:rPr>
        <w:t> En la formulación, producción, procesamiento, administración, archivo y resguardo de la información, debe atenderse al principio de la máxima publicidad, con el objeto de facilitar el acceso de cualquier persona a su conocimiento.</w:t>
      </w:r>
    </w:p>
    <w:p w14:paraId="13A3E0F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0F9C23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La obligación de entregarla no implica el procesamiento, ni la adecuación de la información al interés del solicitante, salvo la producción de versiones públicas del documento;</w:t>
      </w:r>
    </w:p>
    <w:p w14:paraId="589D709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AF4D67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El tratamiento de documentación histórica deberá hacerse en términos establecidos en el artículo 50 de esta Ley.</w:t>
      </w:r>
    </w:p>
    <w:p w14:paraId="0DD4D1B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387D8F8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ARTÍCULO 61.</w:t>
      </w:r>
      <w:r w:rsidRPr="00D21027">
        <w:rPr>
          <w:rFonts w:ascii="Arial" w:eastAsia="Times New Roman" w:hAnsi="Arial" w:cs="Arial"/>
          <w:i/>
          <w:iCs/>
          <w:lang w:eastAsia="es-ES"/>
        </w:rPr>
        <w:t> Los servidores públicos y las áreas de los sujetos obligados que formulen, produzcan, procesen, administren, archiven y resguarden información pública, son responsables de la misma y están obligados a permitir el ejercicio del derecho de acceso a la información pública en los términos de esta Ley.</w:t>
      </w:r>
    </w:p>
    <w:p w14:paraId="43F7FD2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BB82D4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La obligación de los sujetos obligados de proporcionar información no comprende el procesamiento de la misma, ni el presentarla conforme al interés del solicitante.</w:t>
      </w:r>
    </w:p>
    <w:p w14:paraId="03AD70F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FD3260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ARTÍCULO 151.</w:t>
      </w:r>
      <w:r w:rsidRPr="00D21027">
        <w:rPr>
          <w:rFonts w:ascii="Arial" w:eastAsia="Times New Roman" w:hAnsi="Arial" w:cs="Arial"/>
          <w:i/>
          <w:iCs/>
          <w:lang w:eastAsia="es-ES"/>
        </w:rPr>
        <w:t>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14:paraId="52665E7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3C41D99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 el caso de que la información solicitada consista en bases de datos se deberá privilegiar la entrega de la misma en Formatos Abiertos.</w:t>
      </w:r>
    </w:p>
    <w:p w14:paraId="4546173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CF5F8F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Lo expuesto se adminicula de manera armónica con el </w:t>
      </w:r>
      <w:r w:rsidRPr="00D21027">
        <w:rPr>
          <w:rFonts w:ascii="Arial" w:eastAsia="Times New Roman" w:hAnsi="Arial" w:cs="Arial"/>
          <w:b/>
          <w:bCs/>
          <w:i/>
          <w:iCs/>
          <w:lang w:eastAsia="es-ES"/>
        </w:rPr>
        <w:t>Criterio de Interpretación con Clave de Control SO/003/2017</w:t>
      </w:r>
      <w:r w:rsidRPr="00D21027">
        <w:rPr>
          <w:rFonts w:ascii="Arial" w:eastAsia="Times New Roman" w:hAnsi="Arial" w:cs="Arial"/>
          <w:i/>
          <w:iCs/>
          <w:lang w:eastAsia="es-ES"/>
        </w:rPr>
        <w:t>, emitido por el Instituto Nacional de Transparencia, Acceso a la Información y Protección de Datos Personales (INAI), cuyo rubro y texto disponen:</w:t>
      </w:r>
    </w:p>
    <w:p w14:paraId="735C0C7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No existe obligación de elaborar documentos ad hoc para atender las solicitudes de acceso a la información.</w:t>
      </w:r>
      <w:r w:rsidRPr="00D21027">
        <w:rPr>
          <w:rFonts w:ascii="Arial" w:eastAsia="Times New Roman" w:hAnsi="Arial" w:cs="Arial"/>
          <w:i/>
          <w:iCs/>
          <w:lang w:eastAsia="es-ES"/>
        </w:rPr>
        <w:t xml:space="preserve"> Los artículos 129 de la Ley General de Transparencia y Acceso a la </w:t>
      </w:r>
      <w:r w:rsidRPr="00D21027">
        <w:rPr>
          <w:rFonts w:ascii="Arial" w:eastAsia="Times New Roman" w:hAnsi="Arial" w:cs="Arial"/>
          <w:i/>
          <w:iCs/>
          <w:lang w:eastAsia="es-ES"/>
        </w:rPr>
        <w:lastRenderedPageBreak/>
        <w:t>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w:t>
      </w:r>
    </w:p>
    <w:p w14:paraId="2D57260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35B54B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Asimismo, cobra puntual aplicación el Criterio de Interpretación 09/10 emitido por el propio órgano garante federal, el cual determina que la obligación de proporcionar información pública no comprende su procesamiento ni su presentación conforme a las exigencias o conveniencia particular del peticionario, salvaguardando así el principio de integridad archivística de la administración pública.</w:t>
      </w:r>
    </w:p>
    <w:p w14:paraId="61CE508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42F3B5D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Bajo este contexto garantista, la documentación se pone a disposición en estricto apego al estado material, lógico y formal en que se encuentra resguardada en los archivos del Municipio de San Luis Potosí, sin que sea jurídicamente viable o exigible su procesamiento, modificación, confección especial o adaptación a los requerimientos particulares de quien promueve. Lo anterior encuentra puntual sustento en los siguientes razonamientos de derecho:</w:t>
      </w:r>
    </w:p>
    <w:p w14:paraId="1A93C37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31BD5A5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En observancia de lo dispuesto por el artículo 59 de la Ley de Transparencia y Acceso a la Información Pública del Estado de San Luis Potosí, los sujetos obligados tienen el deber de proporcionar la información en la modalidad en que esta se encuentre disponible. Si bien asiste a la persona solicitante el derecho de elegir el medio de entrega cuando la documentación obre en dos o más formatos, dicha prerrogativa se colma entregando el soporte tal como obra en posesión de la autoridad, sin que ello faculte la transformación o alteración de su contenido primigenio.</w:t>
      </w:r>
    </w:p>
    <w:p w14:paraId="4840378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29E905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De conformidad con el artículo 60 de la ley local de la materia, la formulación, producción, administración y archivo institucional se rigen por el principio de máxima publicidad para facilitar el conocimiento general de la gestión pública. </w:t>
      </w:r>
      <w:r w:rsidRPr="00D21027">
        <w:rPr>
          <w:rFonts w:ascii="Arial" w:eastAsia="Times New Roman" w:hAnsi="Arial" w:cs="Arial"/>
          <w:i/>
          <w:iCs/>
          <w:u w:val="single"/>
          <w:lang w:eastAsia="es-ES"/>
        </w:rPr>
        <w:t>No obstante, el segundo párrafo del citado precepto legal, en consonancia con el diverso numeral 61 del mismo ordenamiento, delimita con precisión que el deber de acceso no comprende ni impone la obligación de procesar la información ni de estructurarla al interés particular de la persona peticionaria, salvo en lo conducente a la elaboración de versiones públicas debidamente aprobadas por el Comité de Transparencia</w:t>
      </w:r>
      <w:r w:rsidRPr="00D21027">
        <w:rPr>
          <w:rFonts w:ascii="Arial" w:eastAsia="Times New Roman" w:hAnsi="Arial" w:cs="Arial"/>
          <w:i/>
          <w:iCs/>
          <w:lang w:eastAsia="es-ES"/>
        </w:rPr>
        <w:t>.</w:t>
      </w:r>
    </w:p>
    <w:p w14:paraId="7814BEE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4EEBDD6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Atendiendo al artículo 151 de la legislación estatal invocada, el derecho de acceso se materializa mediante la entrega de la expresión documental preexistente, respetando sus condiciones </w:t>
      </w:r>
      <w:r w:rsidRPr="00D21027">
        <w:rPr>
          <w:rFonts w:ascii="Arial" w:eastAsia="Times New Roman" w:hAnsi="Arial" w:cs="Arial"/>
          <w:i/>
          <w:iCs/>
          <w:lang w:eastAsia="es-ES"/>
        </w:rPr>
        <w:lastRenderedPageBreak/>
        <w:t>físicas y el estado de conservación de los repositorios. Asimismo, tratándose de bases de datos, se privilegia la entrega en formatos abiertos y procesables, salvaguardando la integridad del documento y la veracidad de la función pública municipal.</w:t>
      </w:r>
    </w:p>
    <w:p w14:paraId="4999E1F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F7F360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Conforme al criterio vinculante SO/003/2017 del organismo garante nacional, la administración pública municipal no se encuentra constreñida a producir documentos especiales, resúmenes ad hoc, análisis a la medida o sistematizaciones que desborden los registros y archivos generados en el ejercicio formal de sus competencias y funciones legales.</w:t>
      </w:r>
    </w:p>
    <w:p w14:paraId="3E49385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A03FEA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Por consiguiente, este sujeto obligado garantiza la eficacia del derecho humano de acceso a la información poniendo a disposición de la persona solicitante los registros correspondientes, exclusivamente en la forma y en el estado material y técnico en que obran en sus archivos administrativos.</w:t>
      </w:r>
    </w:p>
    <w:p w14:paraId="264C653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5BD2E88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En mérito de las consideraciones vertidas, se hace del conocimiento de la persona solicitante que, derivado de gestiones oficiosas y diligencias complementarias implementadas por esta Unidad de Transparencia con posterioridad a la presentación de la solicitud radicada bajo el folio 240474426000534, se recabó formalmente la misiva administrativa DOP/CJ/1310/2026, a través de la cual se informa lo siguiente: “(sic) </w:t>
      </w:r>
      <w:r w:rsidRPr="00D21027">
        <w:rPr>
          <w:rFonts w:ascii="Arial" w:eastAsia="Times New Roman" w:hAnsi="Arial" w:cs="Arial"/>
          <w:i/>
          <w:iCs/>
          <w:u w:val="single"/>
          <w:lang w:eastAsia="es-ES"/>
        </w:rPr>
        <w:t>Al respecto, me permito informarle que después de una búsqueda en los archivos de esta Dirección no se encontró información alguna al respecto</w:t>
      </w:r>
      <w:r w:rsidRPr="00D21027">
        <w:rPr>
          <w:rFonts w:ascii="Arial" w:eastAsia="Times New Roman" w:hAnsi="Arial" w:cs="Arial"/>
          <w:i/>
          <w:iCs/>
          <w:lang w:eastAsia="es-ES"/>
        </w:rPr>
        <w:t>. Se sugiere redireccionar dicha petición al Instituto Municipal de Planeación (IMPLAN).”.</w:t>
      </w:r>
    </w:p>
    <w:p w14:paraId="4530950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Énfasis añadido</w:t>
      </w:r>
    </w:p>
    <w:p w14:paraId="73D2410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41488D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u w:val="single"/>
          <w:lang w:eastAsia="es-ES"/>
        </w:rPr>
        <w:t>Del pronunciamiento oficial emitido por la Dirección de Obras Públicas a través del oficio DOP/CJ/1310/2026, adminiculado con las atribuciones orgánicas que rigen a la administración pública del Municipio de San Luis Potosí, se desprende con meridiana claridad que este sujeto obligado carece de expresión documental o registro archivístico alguno del cual derive la información solicitada por la persona recurrente.</w:t>
      </w:r>
    </w:p>
    <w:p w14:paraId="02D1C8D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4511BC5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Por tanto, en estricto acatamiento a lo dispuesto por el artículo 158 de la Ley de Transparencia y Acceso a la Información Pública del Estado de San Luis Potosí, y en debida observancia del artículo 136 de la Ley General de Transparencia y Acceso a la Información Pública, este Ayuntamiento determinó formalmente orientar y encauzar al peticionario ante la persona jurídica idónea, a saber, el Instituto Municipal de Planeación (IMPLAN). Dicho organismo público descentralizado, dotado de personalidad jurídica, patrimonio propio y autonomía técnica por virtud del Decreto Legislativo 494 publicado en el Periódico Oficial del Estado Libre y Soberano de San Luis Potosí el 11 de abril de 2006, así como del artículo 38 de la Ley de Ordenamiento Territorial y Desarrollo Urbano de San Luis Potosí, es la instancia facultada para dar cuenta integral de las etapas técnicas previas y preliminares. Lo anterior es así puesto </w:t>
      </w:r>
      <w:r w:rsidRPr="00D21027">
        <w:rPr>
          <w:rFonts w:ascii="Arial" w:eastAsia="Times New Roman" w:hAnsi="Arial" w:cs="Arial"/>
          <w:i/>
          <w:iCs/>
          <w:lang w:eastAsia="es-ES"/>
        </w:rPr>
        <w:lastRenderedPageBreak/>
        <w:t>que, antes de que la Dirección de Obras Públicas se encuentre facultada para instrumentar o ejecutar acciones materiales en la vía pública, corresponde al Instituto Municipal de Planeación llevar a cabo la formulación de planes, el diseño de proyectos urbanos conceptuales y ejecutivos, el desahogo de consultas ciudadanas y la coordinación de las mesas técnicas de movilidad.</w:t>
      </w:r>
    </w:p>
    <w:p w14:paraId="5472205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395024F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En ese orden de ideas, cobra plena vigencia y aplicación vinculante el </w:t>
      </w:r>
      <w:r w:rsidRPr="00D21027">
        <w:rPr>
          <w:rFonts w:ascii="Arial" w:eastAsia="Times New Roman" w:hAnsi="Arial" w:cs="Arial"/>
          <w:b/>
          <w:bCs/>
          <w:i/>
          <w:iCs/>
          <w:lang w:eastAsia="es-ES"/>
        </w:rPr>
        <w:t>Criterio de Interpretación con Clave de Control SO/013/2017</w:t>
      </w:r>
      <w:r w:rsidRPr="00D21027">
        <w:rPr>
          <w:rFonts w:ascii="Arial" w:eastAsia="Times New Roman" w:hAnsi="Arial" w:cs="Arial"/>
          <w:i/>
          <w:iCs/>
          <w:lang w:eastAsia="es-ES"/>
        </w:rPr>
        <w:t> emitido por el Pleno del Instituto Nacional de Transparencia, Acceso a la Información y Protección de Datos Personales, cuyo rubro y texto prevén:</w:t>
      </w:r>
    </w:p>
    <w:p w14:paraId="52A7E74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Incompetencia.</w:t>
      </w:r>
      <w:r w:rsidRPr="00D21027">
        <w:rPr>
          <w:rFonts w:ascii="Arial" w:eastAsia="Times New Roman" w:hAnsi="Arial" w:cs="Arial"/>
          <w:i/>
          <w:iCs/>
          <w:lang w:eastAsia="es-ES"/>
        </w:rPr>
        <w:t> La incompetencia implica la ausencia de atribuciones del sujeto obligado para poseer la información solicitada; es decir, se trata de una cuestión de derecho, en tanto que no existan facultades para contar con lo requerido; por lo que la incompetencia es una cualidad atribuida al sujeto obligado que la declara.</w:t>
      </w:r>
    </w:p>
    <w:p w14:paraId="0E5FB7A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91551F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Bajo esta premisa dogmática, para un correcto y legal proveer, se debe precisar que si bien la Dirección de Obras Públicas tiene encomendadas las funciones generales de planear, proyectar, promover y construir la obra pública conforme al punto 3.2.22 del Manual General de Organización del Municipio de San Luis Potosí y al diverso numeral 190 del Reglamento Interno del Municipio de San Luis Potosí, su actuación material, procedimental y presupuestaria se encuentra estrictamente condicionada a la culminación de los procesos de planeación institucional y de diseño urbano a cargo del Instituto Municipal de Planeación. De acuerdo con los artículos 3, 33 y 35 del Decreto de Creación del IMPLAN, así como los artículos 19, 21 y 28 de su Manual de Procedimientos, la intervención ejecutiva de la administración centralizada únicamente puede detonarse una vez concluida la planeación estratégica, las mesas de movilidad y los proyectos técnicos aprobados por la Junta de Gobierno del referido Instituto.</w:t>
      </w:r>
    </w:p>
    <w:p w14:paraId="11F74C5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5737D7D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Al no haber alcanzado la meta programada de las ciclovías la fase de proyecto ejecutivo definitivo ni de dictamen de factibilidad a cargo del Instituto Municipal de Planeación, resulta material y jurídicamente inviable que obren en el acervo de la Dirección de Obras Públicas, de la Dirección de Adquisiciones o de la Tesorería Municipal instrumentos contractuales, actos de fallo, bitácoras de obra, estimaciones pagadas o pólizas de gasto que satisfagan la pretensión del particular. Ello responde a que la obra pública no puede legalmente licitarse, contratarse ni erogarse al margen de un expediente técnico preexistente, tal como lo ordenan de manera taxativa los artículos 35 y 43 de la Ley de Obras Públicas y Servicios Relacionados con las Mismas del Estado de San Luis Potosí, así como los numerales 32 y 33 de la Ley de Presupuesto y Responsabilidad Hacendaria del Estado y Municipios de San Luis Potosí.</w:t>
      </w:r>
    </w:p>
    <w:p w14:paraId="145FCB6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3A0A79F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Para dotar de plena certeza jurídica a esta resolución complementaria y acreditar de manera fehaciente que el </w:t>
      </w:r>
      <w:r w:rsidRPr="00D21027">
        <w:rPr>
          <w:rFonts w:ascii="Arial" w:eastAsia="Times New Roman" w:hAnsi="Arial" w:cs="Arial"/>
          <w:i/>
          <w:iCs/>
          <w:lang w:eastAsia="es-ES"/>
        </w:rPr>
        <w:lastRenderedPageBreak/>
        <w:t>Municipio de San Luis Potosí no ha ejercido, erogado ni comprometido recursos públicos en los rubros peticionados, es necesario atender a las disposiciones de orden público y observancia general que rigen la disciplina hacendaria y la difusión financiera. Conforme al Título Quinto de la Ley General de Contabilidad Gubernamental, en sus artículos 2, 34, 35, 36, 38, 48 y 52, en correlación estrecha con los artículos 2, 4, 6 y 73 de la Ley de Presupuesto y Responsabilidad Hacendaria del Estado y Municipios de San Luis Potosí, y el artículo 18 de la Ley de Disciplina Financiera de las Entidades Federativas y los Municipios, los entes públicos están obligados a registrar de forma acumulativa y en tiempo real las operaciones financieras conforme al Clasificador por Objeto del Gasto emitido por el Consejo Nacional de Armonización Contable (CONAC). Esto refleja con exactitud los momentos contables del gasto: aprobado, modificado, comprometido, devengado, ejercido y pagado.</w:t>
      </w:r>
    </w:p>
    <w:p w14:paraId="3EF5F33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7C81445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 concordancia directa, el artículo 84 de la Ley de Transparencia y Acceso a la Información Pública del Estado de San Luis Potosí impone la publicación oficiosa de los resultados de procedimientos de licitación y contratos en su fracción XXVIII, la información contable, presupuestal y de la cuenta pública desglosada en su fracción XXXI, y los expedientes y finiquitos de las obras públicas ejecutadas en su fracción XXXIII. La ausencia de registros contables o asientos presupuestarios dentro de la partida específica 6152 referente a Obras de Vías de Comunicación para el concepto de ciclovías en los ejercicios fiscales 2025 y 2026, no constituye un ocultamiento doloso ni una falta de exhaustividad; por el contrario, refleja la verdad jurídica y fáctica de que el Ayuntamiento no ha destinado fondos públicos a su construcción por encontrarse el proyecto en una fase abstracta de planeación que no ha generado obligaciones de pago.</w:t>
      </w:r>
    </w:p>
    <w:p w14:paraId="062703D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1CB00E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Por lo tanto, al actualizarse una potestad institucional no ejecutada y en cumplimiento de la máxima publicidad, se ponen a disposición de la persona solicitante los vínculos electrónicos y rutas oficiales de la Plataforma Estatal de Transparencia y de los portales gubernamentales que acreditan la inexistencia de presupuesto ejercido en dicho rubro, así como el repositorio oficial del IMPLAN donde podrá dar seguimiento a las fases de diseño y consulta pública:</w:t>
      </w:r>
    </w:p>
    <w:p w14:paraId="03EFA2A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B3F7B45" w14:textId="77777777" w:rsidR="00D21027" w:rsidRPr="00D21027" w:rsidRDefault="00D21027" w:rsidP="00D21027">
      <w:pPr>
        <w:numPr>
          <w:ilvl w:val="0"/>
          <w:numId w:val="7"/>
        </w:numPr>
        <w:spacing w:after="0" w:line="240" w:lineRule="auto"/>
        <w:ind w:right="1185"/>
        <w:jc w:val="both"/>
        <w:rPr>
          <w:rFonts w:ascii="Arial" w:eastAsia="Times New Roman" w:hAnsi="Arial" w:cs="Arial"/>
          <w:lang w:eastAsia="es-ES"/>
        </w:rPr>
      </w:pPr>
      <w:r w:rsidRPr="00D21027">
        <w:rPr>
          <w:rFonts w:ascii="Arial" w:eastAsia="Times New Roman" w:hAnsi="Arial" w:cs="Arial"/>
          <w:lang w:eastAsia="es-ES"/>
        </w:rPr>
        <w:t>Plataforma Estatal de Transparencia de San Luis Potosí, para verificar la ausencia de contratos de obra ciclista en las obligaciones del artículo 84, de la ley local:</w:t>
      </w:r>
    </w:p>
    <w:p w14:paraId="6D68CC0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8" w:tooltip="https://www.pets.org.mx/" w:history="1">
        <w:r w:rsidR="00D21027" w:rsidRPr="00D21027">
          <w:rPr>
            <w:rStyle w:val="Hyperlink"/>
            <w:rFonts w:ascii="Arial" w:eastAsia="Times New Roman" w:hAnsi="Arial" w:cs="Arial"/>
            <w:i/>
            <w:iCs/>
            <w:lang w:eastAsia="es-ES"/>
          </w:rPr>
          <w:t>https://www.pets.org.mx/</w:t>
        </w:r>
      </w:hyperlink>
    </w:p>
    <w:p w14:paraId="6868DB39" w14:textId="77777777" w:rsidR="00D21027" w:rsidRPr="00D21027" w:rsidRDefault="00D21027" w:rsidP="00D21027">
      <w:pPr>
        <w:numPr>
          <w:ilvl w:val="0"/>
          <w:numId w:val="8"/>
        </w:numPr>
        <w:spacing w:after="0" w:line="240" w:lineRule="auto"/>
        <w:ind w:right="1185"/>
        <w:jc w:val="both"/>
        <w:rPr>
          <w:rFonts w:ascii="Arial" w:eastAsia="Times New Roman" w:hAnsi="Arial" w:cs="Arial"/>
          <w:lang w:eastAsia="es-ES"/>
        </w:rPr>
      </w:pPr>
      <w:r w:rsidRPr="00D21027">
        <w:rPr>
          <w:rFonts w:ascii="Arial" w:eastAsia="Times New Roman" w:hAnsi="Arial" w:cs="Arial"/>
          <w:lang w:eastAsia="es-ES"/>
        </w:rPr>
        <w:t>Portal Municipal de Transparencia del H. Ayuntamiento de San Luis Potosí, en su apartado de Estados Financieros, Presupuesto de Egresos y Cuenta Pública de la Tesorería Municipal conforme al artículo 84, fracción XXXI:</w:t>
      </w:r>
    </w:p>
    <w:p w14:paraId="19AF051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hyperlink r:id="rId9" w:tooltip="https://sitio.sanluis.gob.mx/SanLuisPotosi/Transparencia/Finanzas" w:history="1">
        <w:r w:rsidRPr="00D21027">
          <w:rPr>
            <w:rStyle w:val="Hyperlink"/>
            <w:rFonts w:ascii="Arial" w:eastAsia="Times New Roman" w:hAnsi="Arial" w:cs="Arial"/>
            <w:i/>
            <w:iCs/>
            <w:lang w:eastAsia="es-ES"/>
          </w:rPr>
          <w:t>https://sitio.sanluis.gob.mx/SanLuisPotosi/Transparencia/Finanzas</w:t>
        </w:r>
      </w:hyperlink>
    </w:p>
    <w:p w14:paraId="6A62B544" w14:textId="77777777" w:rsidR="00D21027" w:rsidRPr="00D21027" w:rsidRDefault="00D21027" w:rsidP="00D21027">
      <w:pPr>
        <w:numPr>
          <w:ilvl w:val="0"/>
          <w:numId w:val="9"/>
        </w:numPr>
        <w:spacing w:after="0" w:line="240" w:lineRule="auto"/>
        <w:ind w:right="1185"/>
        <w:jc w:val="both"/>
        <w:rPr>
          <w:rFonts w:ascii="Arial" w:eastAsia="Times New Roman" w:hAnsi="Arial" w:cs="Arial"/>
          <w:lang w:eastAsia="es-ES"/>
        </w:rPr>
      </w:pPr>
      <w:r w:rsidRPr="00D21027">
        <w:rPr>
          <w:rFonts w:ascii="Arial" w:eastAsia="Times New Roman" w:hAnsi="Arial" w:cs="Arial"/>
          <w:lang w:eastAsia="es-ES"/>
        </w:rPr>
        <w:t>Repositorio Oficial de Obras Públicas y Licitaciones Municipales, en cumplimiento al artículo 84, fracción XXXIII:</w:t>
      </w:r>
    </w:p>
    <w:p w14:paraId="67D0EC35"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0" w:tooltip="https://sitio.sanluis.gob.mx/SanLuisPotosi/LicitacionesPublicas2" w:history="1">
        <w:r w:rsidR="00D21027" w:rsidRPr="00D21027">
          <w:rPr>
            <w:rStyle w:val="Hyperlink"/>
            <w:rFonts w:ascii="Arial" w:eastAsia="Times New Roman" w:hAnsi="Arial" w:cs="Arial"/>
            <w:i/>
            <w:iCs/>
            <w:lang w:eastAsia="es-ES"/>
          </w:rPr>
          <w:t>https://sitio.sanluis.gob.mx/SanLuisPotosi/LicitacionesPublicas2</w:t>
        </w:r>
      </w:hyperlink>
    </w:p>
    <w:p w14:paraId="5502ACC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2AB545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Con estos elementos de convicción objetivos y verificables, se acredita que el Ayuntamiento de San Luis Potosí no posee la información solicitada debido a una legítima incompetencia por concurrencia competencial sucesiva, garantizando la debida fundamentación y motivación del acto, en cumplimiento irrestricto de las directrices que rigen el principio de máxima publicidad y garantizando plenamente las condiciones de accesibilidad, disponibilidad y verificabilidad documental de la información pública de oficio, con fundamento en los artículos 13, 24 fracciones V, IX y XI, 70, 71, 76, 80, 84 fracciones XXXI, XXXIII y XXXVIII, y 144 de la Ley de Transparencia y Acceso a la Información Pública del Estado de San Luis Potosí, en concordancia directa con los artículos 60, 61 y 70 de la Ley General de Transparencia y Acceso a la Información Pública, así como con los Lineamientos Estatales para la Difusión, Disposición y Evaluación de las Obligaciones de Transparencia Comunes y Específicas emitidos por la Comisión Estatal de Garantía de Acceso a la Información Pública (CEGAIP), se ponen formalmente a disposición de la persona solicitante los hipervínculos electrónicos directos a los formatos oficiales estandarizados en hojas de cálculo electrónicas (archivos .xlsx) alojados en los servidores de la Plataforma Estatal de Transparencia del Estado de San Luis Potosí.</w:t>
      </w:r>
    </w:p>
    <w:p w14:paraId="61CF65B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C7E350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 través de estos instrumentos técnicos inalterables y con estricto apego a las Tablas de Aplicabilidad dictaminadas por el órgano garante local, cualquier persona puede constatar fehacientemente, mes con mes, la inexistencia de procedimientos de contratación, fallos de adjudicación, obras públicas ejecutadas o erogaciones presupuestales devengadas y pagadas respecto a la creación o rehabilitación de ciclovías por parte del Municipio de San Luis Potosí, ratificando documentalmente que al no haberse recibido proyectos ejecutivos diseñados y concluidos por el Instituto Municipal de Planeación (IMPLAN), este Ayuntamiento se encuentra jurídicamente impedido para comprometer y ejercer gasto público en la materia.</w:t>
      </w:r>
    </w:p>
    <w:p w14:paraId="40C66BE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7261C5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Las direcciones electrónicas oficiales de consulta directa corresponden a las siguientes:</w:t>
      </w:r>
    </w:p>
    <w:p w14:paraId="2C19070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 xml:space="preserve">ARTICULO 84 FRACCION XXXI </w:t>
      </w:r>
      <w:r w:rsidRPr="00D21027">
        <w:rPr>
          <w:rFonts w:ascii="Arial" w:eastAsia="Times New Roman" w:hAnsi="Arial" w:cs="Arial"/>
          <w:i/>
          <w:iCs/>
          <w:lang w:eastAsia="es-ES"/>
        </w:rPr>
        <w:t>(Presupuesto de egresos, información financiera y cuenta pública):</w:t>
      </w:r>
    </w:p>
    <w:p w14:paraId="572F427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ENERO 2025</w:t>
      </w:r>
    </w:p>
    <w:p w14:paraId="4B161F3B"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1" w:tooltip="http://www.cegaipslp.org.mx/webcegaip2025.nsf/nombre_de_la_vista/726E0F4F50E40CF606258C2A005909D9/$File/LTAIPSLP84XXXI+01+2025.xlsx" w:history="1">
        <w:r w:rsidR="00D21027" w:rsidRPr="00D21027">
          <w:rPr>
            <w:rStyle w:val="Hyperlink"/>
            <w:rFonts w:ascii="Arial" w:eastAsia="Times New Roman" w:hAnsi="Arial" w:cs="Arial"/>
            <w:i/>
            <w:iCs/>
            <w:lang w:eastAsia="es-ES"/>
          </w:rPr>
          <w:t>http://www.cegaipslp.org.mx/webcegaip2025.nsf/nombre_de_la_vista/726E0F4F50E40CF606258C2A005909D9/$File/LTAIPSLP84XXXI+01+2025.xlsx</w:t>
        </w:r>
      </w:hyperlink>
    </w:p>
    <w:p w14:paraId="2AB8FD4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FEBRERO 2025</w:t>
      </w:r>
    </w:p>
    <w:p w14:paraId="15D8E396"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2" w:tooltip="http://www.cegaipslp.org.mx/webcegaip2025.nsf/nombre_de_la_vista/E1C3095AEC17627506258C430057D390/$File/LTAIPSLP84XXXI+02+2025.xlsx" w:history="1">
        <w:r w:rsidR="00D21027" w:rsidRPr="00D21027">
          <w:rPr>
            <w:rStyle w:val="Hyperlink"/>
            <w:rFonts w:ascii="Arial" w:eastAsia="Times New Roman" w:hAnsi="Arial" w:cs="Arial"/>
            <w:i/>
            <w:iCs/>
            <w:lang w:eastAsia="es-ES"/>
          </w:rPr>
          <w:t>http://www.cegaipslp.org.mx/webcegaip2025.nsf/nombre_de_la_vista/E1C3095AEC17627506258C430057D390/$File/LTAIPSLP84XXXI+02+2025.xlsx</w:t>
        </w:r>
      </w:hyperlink>
    </w:p>
    <w:p w14:paraId="3C9FA8B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MARZO 2025</w:t>
      </w:r>
    </w:p>
    <w:p w14:paraId="5418494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3" w:tooltip="http://www.cegaipslp.org.mx/webcegaip2025.nsf/nombre_de_la_vista/EEA1D30215FB632106258C6600566C6F/$File/LTAIPSLP84XXXI+03+2025.xlsx" w:history="1">
        <w:r w:rsidR="00D21027" w:rsidRPr="00D21027">
          <w:rPr>
            <w:rStyle w:val="Hyperlink"/>
            <w:rFonts w:ascii="Arial" w:eastAsia="Times New Roman" w:hAnsi="Arial" w:cs="Arial"/>
            <w:i/>
            <w:iCs/>
            <w:lang w:eastAsia="es-ES"/>
          </w:rPr>
          <w:t>http://www.cegaipslp.org.mx/webcegaip2025.nsf/nombre_de_la_vista/EEA1D30215FB632106258C6600566C6F/$File/LTAIPSLP84XXXI+03+2025.xlsx</w:t>
        </w:r>
      </w:hyperlink>
    </w:p>
    <w:p w14:paraId="42C0DA2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lastRenderedPageBreak/>
        <w:t>ABRIL 2025</w:t>
      </w:r>
    </w:p>
    <w:p w14:paraId="7B7CDE9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4" w:tooltip="http://www.cegaipslp.org.mx/webcegaip2025.nsf/nombre_de_la_vista/0859C6FBCDF8DD9406258C83005A7E58/$File/LTAIPSLP84XXXI+04+2025.xlsx" w:history="1">
        <w:r w:rsidR="00D21027" w:rsidRPr="00D21027">
          <w:rPr>
            <w:rStyle w:val="Hyperlink"/>
            <w:rFonts w:ascii="Arial" w:eastAsia="Times New Roman" w:hAnsi="Arial" w:cs="Arial"/>
            <w:i/>
            <w:iCs/>
            <w:lang w:eastAsia="es-ES"/>
          </w:rPr>
          <w:t>http://www.cegaipslp.org.mx/webcegaip2025.nsf/nombre_de_la_vista/0859C6FBCDF8DD9406258C83005A7E58/$File/LTAIPSLP84XXXI+04+2025.xlsx</w:t>
        </w:r>
      </w:hyperlink>
    </w:p>
    <w:p w14:paraId="0073D59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MAYO 2025</w:t>
      </w:r>
    </w:p>
    <w:p w14:paraId="76D6DFFE"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5" w:tooltip="http://www.cegaipslp.org.mx/webcegaip2025.nsf/nombre_de_la_vista/3259A486E8B5894806258CA4006FC63C/$File/LTAIPSLP84XXXI+05+2025.xlsx" w:history="1">
        <w:r w:rsidR="00D21027" w:rsidRPr="00D21027">
          <w:rPr>
            <w:rStyle w:val="Hyperlink"/>
            <w:rFonts w:ascii="Arial" w:eastAsia="Times New Roman" w:hAnsi="Arial" w:cs="Arial"/>
            <w:i/>
            <w:iCs/>
            <w:lang w:eastAsia="es-ES"/>
          </w:rPr>
          <w:t>http://www.cegaipslp.org.mx/webcegaip2025.nsf/nombre_de_la_vista/3259A486E8B5894806258CA4006FC63C/$File/LTAIPSLP84XXXI+05+2025.xlsx</w:t>
        </w:r>
      </w:hyperlink>
    </w:p>
    <w:p w14:paraId="2C5C0C0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JUNIO 2025</w:t>
      </w:r>
    </w:p>
    <w:p w14:paraId="62477955"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6" w:tooltip="http://www.cegaipslp.org.mx/webcegaip2025.nsf/nombre_de_la_vista/5037C635D192B33906258CC100522537/$File/LTAIPSLP84XXXI+06+2025.xlsx" w:history="1">
        <w:r w:rsidR="00D21027" w:rsidRPr="00D21027">
          <w:rPr>
            <w:rStyle w:val="Hyperlink"/>
            <w:rFonts w:ascii="Arial" w:eastAsia="Times New Roman" w:hAnsi="Arial" w:cs="Arial"/>
            <w:i/>
            <w:iCs/>
            <w:lang w:eastAsia="es-ES"/>
          </w:rPr>
          <w:t>http://www.cegaipslp.org.mx/webcegaip2025.nsf/nombre_de_la_vista/5037C635D192B33906258CC100522537/$File/LTAIPSLP84XXXI+06+2025.xlsx</w:t>
        </w:r>
      </w:hyperlink>
    </w:p>
    <w:p w14:paraId="6B06A29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JULIO  2025</w:t>
      </w:r>
    </w:p>
    <w:p w14:paraId="78979C11"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7" w:tooltip="http://www.cegaipslp.org.mx/webcegaip2025.nsf/nombre_de_la_vista/E66A616F31F7907306258CD90052D585/$File/LTAIPSLP84XXXI+07+2025.xlsx" w:history="1">
        <w:r w:rsidR="00D21027" w:rsidRPr="00D21027">
          <w:rPr>
            <w:rStyle w:val="Hyperlink"/>
            <w:rFonts w:ascii="Arial" w:eastAsia="Times New Roman" w:hAnsi="Arial" w:cs="Arial"/>
            <w:i/>
            <w:iCs/>
            <w:lang w:eastAsia="es-ES"/>
          </w:rPr>
          <w:t>http://www.cegaipslp.org.mx/webcegaip2025.nsf/nombre_de_la_vista/E66A616F31F7907306258CD90052D585/$File/LTAIPSLP84XXXI+07+2025.xlsx</w:t>
        </w:r>
      </w:hyperlink>
    </w:p>
    <w:p w14:paraId="6B4B411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AGOSTO  2025</w:t>
      </w:r>
    </w:p>
    <w:p w14:paraId="410C23F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8" w:tooltip="http://www.cegaipslp.org.mx/webcegaip2025.nsf/nombre_de_la_vista/3F34EEE03E9E048406258CF8005FD6B4/$File/LTAIPSLP84XXXI+08+2025.xlsx" w:history="1">
        <w:r w:rsidR="00D21027" w:rsidRPr="00D21027">
          <w:rPr>
            <w:rStyle w:val="Hyperlink"/>
            <w:rFonts w:ascii="Arial" w:eastAsia="Times New Roman" w:hAnsi="Arial" w:cs="Arial"/>
            <w:i/>
            <w:iCs/>
            <w:lang w:eastAsia="es-ES"/>
          </w:rPr>
          <w:t>http://www.cegaipslp.org.mx/webcegaip2025.nsf/nombre_de_la_vista/3F34EEE03E9E048406258CF8005FD6B4/$File/LTAIPSLP84XXXI+08+2025.xlsx</w:t>
        </w:r>
      </w:hyperlink>
    </w:p>
    <w:p w14:paraId="09CD494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SEPTIEMBRE  2025</w:t>
      </w:r>
    </w:p>
    <w:p w14:paraId="2381BEC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19" w:tooltip="http://www.cegaipslp.org.mx/webcegaip2025.nsf/nombre_de_la_vista/77ACF464250D466106258D1C006DB557/$File/LTAIPSLP84XXXI+09+2025.xlsx" w:history="1">
        <w:r w:rsidR="00D21027" w:rsidRPr="00D21027">
          <w:rPr>
            <w:rStyle w:val="Hyperlink"/>
            <w:rFonts w:ascii="Arial" w:eastAsia="Times New Roman" w:hAnsi="Arial" w:cs="Arial"/>
            <w:i/>
            <w:iCs/>
            <w:lang w:eastAsia="es-ES"/>
          </w:rPr>
          <w:t>http://www.cegaipslp.org.mx/webcegaip2025.nsf/nombre_de_la_vista/77ACF464250D466106258D1C006DB557/$File/LTAIPSLP84XXXI+09+2025.xlsx</w:t>
        </w:r>
      </w:hyperlink>
    </w:p>
    <w:p w14:paraId="4380ADC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OCTUBRE  2025</w:t>
      </w:r>
    </w:p>
    <w:p w14:paraId="3A97DB86"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0" w:tooltip="http://www.cegaipslp.org.mx/webcegaip2025.nsf/nombre_de_la_vista/8C7AD28195545B2906258D390055662F/$File/LTAIPSLP84XXXI+10+2025.xlsx" w:history="1">
        <w:r w:rsidR="00D21027" w:rsidRPr="00D21027">
          <w:rPr>
            <w:rStyle w:val="Hyperlink"/>
            <w:rFonts w:ascii="Arial" w:eastAsia="Times New Roman" w:hAnsi="Arial" w:cs="Arial"/>
            <w:i/>
            <w:iCs/>
            <w:lang w:eastAsia="es-ES"/>
          </w:rPr>
          <w:t>http://www.cegaipslp.org.mx/webcegaip2025.nsf/nombre_de_la_vista/8C7AD28195545B2906258D390055662F/$File/LTAIPSLP84XXXI+10+2025.xlsx</w:t>
        </w:r>
      </w:hyperlink>
    </w:p>
    <w:p w14:paraId="6ECD85E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NOVIEMBRE 2025</w:t>
      </w:r>
    </w:p>
    <w:p w14:paraId="5D971A81"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1" w:tooltip="http://www.cegaipslp.org.mx/webcegaip2025.nsf/nombre_de_la_vista/CB939C25D400F27D06258D5600676E53/$File/LTAIPSLP84XXXI+11+2025.xlsx" w:history="1">
        <w:r w:rsidR="00D21027" w:rsidRPr="00D21027">
          <w:rPr>
            <w:rStyle w:val="Hyperlink"/>
            <w:rFonts w:ascii="Arial" w:eastAsia="Times New Roman" w:hAnsi="Arial" w:cs="Arial"/>
            <w:i/>
            <w:iCs/>
            <w:lang w:eastAsia="es-ES"/>
          </w:rPr>
          <w:t>http://www.cegaipslp.org.mx/webcegaip2025.nsf/nombre_de_la_vista/CB939C25D400F27D06258D5600676E53/$File/LTAIPSLP84XXXI+11+2025.xlsx</w:t>
        </w:r>
      </w:hyperlink>
    </w:p>
    <w:p w14:paraId="08E09F3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DICIEMBRE 2025</w:t>
      </w:r>
    </w:p>
    <w:p w14:paraId="2C486DA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2" w:tooltip="http://www.cegaipslp.org.mx/webcegaip2025.nsf/nombre_de_la_vista/0F546EFEF0AA21D506258D770067ABA5/$File/LTAIPSLP84XXXI+12+2025.xlsx" w:history="1">
        <w:r w:rsidR="00D21027" w:rsidRPr="00D21027">
          <w:rPr>
            <w:rStyle w:val="Hyperlink"/>
            <w:rFonts w:ascii="Arial" w:eastAsia="Times New Roman" w:hAnsi="Arial" w:cs="Arial"/>
            <w:i/>
            <w:iCs/>
            <w:lang w:eastAsia="es-ES"/>
          </w:rPr>
          <w:t>http://www.cegaipslp.org.mx/webcegaip2025.nsf/nombre_de_la_vista/0F546EFEF0AA21D506258D770067ABA5/$File/LTAIPSLP84XXXI+12+2025.xlsx</w:t>
        </w:r>
      </w:hyperlink>
    </w:p>
    <w:p w14:paraId="71A3586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2282BB1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ENERO 2026</w:t>
      </w:r>
    </w:p>
    <w:p w14:paraId="0C4F1A46"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3" w:tooltip="http://www.cegaipslp.org.mx/webcegaip2026.nsf/nombre_de_la_vista/DB1EF309DF7D1BC406258D94005C7E39/$File/LTAIPSLP84XXXI+01+2026.xlsx" w:history="1">
        <w:r w:rsidR="00D21027" w:rsidRPr="00D21027">
          <w:rPr>
            <w:rStyle w:val="Hyperlink"/>
            <w:rFonts w:ascii="Arial" w:eastAsia="Times New Roman" w:hAnsi="Arial" w:cs="Arial"/>
            <w:i/>
            <w:iCs/>
            <w:lang w:eastAsia="es-ES"/>
          </w:rPr>
          <w:t>http://www.cegaipslp.org.mx/webcegaip2026.nsf/nombre_de_la_vista/DB1EF309DF7D1BC406258D94005C7E39/$File/LTAIPSLP84XXXI+01+2026.xlsx</w:t>
        </w:r>
      </w:hyperlink>
    </w:p>
    <w:p w14:paraId="51AFB18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FEBRERO 2026</w:t>
      </w:r>
    </w:p>
    <w:p w14:paraId="5C39F6B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4" w:tooltip="http://www.cegaipslp.org.mx/webcegaip2026.nsf/nombre_de_la_vista/3BE416372B37D75B06258DAF0061DDBD/$File/LTAIPSLP84XXXI+02+2026.xlsx" w:history="1">
        <w:r w:rsidR="00D21027" w:rsidRPr="00D21027">
          <w:rPr>
            <w:rStyle w:val="Hyperlink"/>
            <w:rFonts w:ascii="Arial" w:eastAsia="Times New Roman" w:hAnsi="Arial" w:cs="Arial"/>
            <w:i/>
            <w:iCs/>
            <w:lang w:eastAsia="es-ES"/>
          </w:rPr>
          <w:t>http://www.cegaipslp.org.mx/webcegaip2026.nsf/nombre_de_la_vista/3BE416372B37D75B06258DAF0061DDBD/$File/LTAIPSLP84XXXI+02+2026.xlsx</w:t>
        </w:r>
      </w:hyperlink>
    </w:p>
    <w:p w14:paraId="36BB65B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MARZO 2026</w:t>
      </w:r>
    </w:p>
    <w:p w14:paraId="4E39C1A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5" w:tooltip="http://www.cegaipslp.org.mx/webcegaip2026.nsf/nombre_de_la_vista/E7E1BB677C68BF9206258DD10060B1EA/$File/LTAIPSLP84XXXI+03+2026.xlsx" w:history="1">
        <w:r w:rsidR="00D21027" w:rsidRPr="00D21027">
          <w:rPr>
            <w:rStyle w:val="Hyperlink"/>
            <w:rFonts w:ascii="Arial" w:eastAsia="Times New Roman" w:hAnsi="Arial" w:cs="Arial"/>
            <w:i/>
            <w:iCs/>
            <w:lang w:eastAsia="es-ES"/>
          </w:rPr>
          <w:t>http://www.cegaipslp.org.mx/webcegaip2026.nsf/nombre_de_la_vista/E7E1BB677C68BF9206258DD10060B1EA/$File/LTAIPSLP84XXXI+03+2026.xlsx</w:t>
        </w:r>
      </w:hyperlink>
    </w:p>
    <w:p w14:paraId="18C7B31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ABRIL 2026</w:t>
      </w:r>
    </w:p>
    <w:p w14:paraId="402D1C8B"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6" w:tooltip="http://www.cegaipslp.org.mx/webcegaip2026.nsf/nombre_de_la_vista/21A4B98DB3C7377006258DED00581184/$File/LTAIPSLP84XXXI+04+2026.xlsx" w:history="1">
        <w:r w:rsidR="00D21027" w:rsidRPr="00D21027">
          <w:rPr>
            <w:rStyle w:val="Hyperlink"/>
            <w:rFonts w:ascii="Arial" w:eastAsia="Times New Roman" w:hAnsi="Arial" w:cs="Arial"/>
            <w:i/>
            <w:iCs/>
            <w:lang w:eastAsia="es-ES"/>
          </w:rPr>
          <w:t>http://www.cegaipslp.org.mx/webcegaip2026.nsf/nombre_de_la_vista/21A4B98DB3C7377006258DED00581184/$File/LTAIPSLP84XXXI+04+2026.xlsx</w:t>
        </w:r>
      </w:hyperlink>
    </w:p>
    <w:p w14:paraId="1DACCF0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98EDA7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MAYO 2026</w:t>
      </w:r>
    </w:p>
    <w:p w14:paraId="485F02E8"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7" w:tooltip="http://www.cegaipslp.org.mx/webcegaip2026.nsf/nombre_de_la_vista/7A66BCF9ABCE449C06258E110062CD1A/$File/LTAIPSLP84XXXI+05+2026.xlsx" w:history="1">
        <w:r w:rsidR="00D21027" w:rsidRPr="00D21027">
          <w:rPr>
            <w:rStyle w:val="Hyperlink"/>
            <w:rFonts w:ascii="Arial" w:eastAsia="Times New Roman" w:hAnsi="Arial" w:cs="Arial"/>
            <w:i/>
            <w:iCs/>
            <w:lang w:eastAsia="es-ES"/>
          </w:rPr>
          <w:t>http://www.cegaipslp.org.mx/webcegaip2026.nsf/nombre_de_la_vista/7A66BCF9ABCE449C06258E110062CD1A/$File/LTAIPSLP84XXXI+05+2026.xlsx</w:t>
        </w:r>
      </w:hyperlink>
    </w:p>
    <w:p w14:paraId="7FFF60A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JUNIO 2026</w:t>
      </w:r>
    </w:p>
    <w:p w14:paraId="032C2032"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8" w:tooltip="http://www.cegaipslp.org.mx/webcegaip2026.nsf/nombre_de_la_vista/33939F4A62B89AE406258E2E00821DBE/$File/LTAIPSLP84XXXI+06+2026.xlsx" w:history="1">
        <w:r w:rsidR="00D21027" w:rsidRPr="00D21027">
          <w:rPr>
            <w:rStyle w:val="Hyperlink"/>
            <w:rFonts w:ascii="Arial" w:eastAsia="Times New Roman" w:hAnsi="Arial" w:cs="Arial"/>
            <w:i/>
            <w:iCs/>
            <w:lang w:eastAsia="es-ES"/>
          </w:rPr>
          <w:t>http://www.cegaipslp.org.mx/webcegaip2026.nsf/nombre_de_la_vista/33939F4A62B89AE406258E2E00821DBE/$File/LTAIPSLP84XXXI+06+2026.xlsx</w:t>
        </w:r>
      </w:hyperlink>
    </w:p>
    <w:p w14:paraId="4EDBC7C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JULIO 2026</w:t>
      </w:r>
    </w:p>
    <w:p w14:paraId="608AE352"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29" w:tooltip="http://www.cegaipslp.org.mx/webcegaip2026.nsf/nombre_de_la_vista/048997BE535F232006258E4A0072ED6E/$File/LTAIPSLP84XXXI+07+2026.xlsx" w:history="1">
        <w:r w:rsidR="00D21027" w:rsidRPr="00D21027">
          <w:rPr>
            <w:rStyle w:val="Hyperlink"/>
            <w:rFonts w:ascii="Arial" w:eastAsia="Times New Roman" w:hAnsi="Arial" w:cs="Arial"/>
            <w:i/>
            <w:iCs/>
            <w:lang w:eastAsia="es-ES"/>
          </w:rPr>
          <w:t>http://www.cegaipslp.org.mx/webcegaip2026.nsf/nombre_de_la_vista/048997BE535F232006258E4A0072ED6E/$File/LTAIPSLP84XXXI+07+2026.xlsx</w:t>
        </w:r>
      </w:hyperlink>
    </w:p>
    <w:p w14:paraId="4B3FB81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AGOSTO 2026</w:t>
      </w:r>
    </w:p>
    <w:p w14:paraId="66859155"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0" w:tooltip="http://www.cegaipslp.org.mx/webcegaip2026.nsf/nombre_de_la_vista/A89562A91B5E25A306258E670052065F/$File/LTAIPSLP84XXXI+08+2026.xlsx" w:history="1">
        <w:r w:rsidR="00D21027" w:rsidRPr="00D21027">
          <w:rPr>
            <w:rStyle w:val="Hyperlink"/>
            <w:rFonts w:ascii="Arial" w:eastAsia="Times New Roman" w:hAnsi="Arial" w:cs="Arial"/>
            <w:i/>
            <w:iCs/>
            <w:lang w:eastAsia="es-ES"/>
          </w:rPr>
          <w:t>http://www.cegaipslp.org.mx/webcegaip2026.nsf/nombre_de_la_vista/A89562A91B5E25A306258E670052065F/$File/LTAIPSLP84XXXI+08+2026.xlsx</w:t>
        </w:r>
      </w:hyperlink>
    </w:p>
    <w:p w14:paraId="2D25615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E13286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ARTÍCULO 84, FRACCIÓN XXXIII</w:t>
      </w:r>
      <w:r w:rsidRPr="00D21027">
        <w:rPr>
          <w:rFonts w:ascii="Arial" w:eastAsia="Times New Roman" w:hAnsi="Arial" w:cs="Arial"/>
          <w:i/>
          <w:iCs/>
          <w:lang w:eastAsia="es-ES"/>
        </w:rPr>
        <w:t> (Concesiones, contratos, convenios, permisos, licencias o autorizaciones en materia de obras públicas):</w:t>
      </w:r>
    </w:p>
    <w:p w14:paraId="1002F32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ENERO 2025</w:t>
      </w:r>
    </w:p>
    <w:p w14:paraId="5C370E49"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1" w:tooltip="http://www.cegaipslp.org.mx/webcegaip2025.nsf/nombre_de_la_vista/AC344E83366B316A06258C2D005424F2/$File/LTAIPSLP84XXXIII.xlsx" w:history="1">
        <w:r w:rsidR="00D21027" w:rsidRPr="00D21027">
          <w:rPr>
            <w:rStyle w:val="Hyperlink"/>
            <w:rFonts w:ascii="Arial" w:eastAsia="Times New Roman" w:hAnsi="Arial" w:cs="Arial"/>
            <w:i/>
            <w:iCs/>
            <w:lang w:eastAsia="es-ES"/>
          </w:rPr>
          <w:t>http://www.cegaipslp.org.mx/webcegaip2025.nsf/nombre_de_la_vista/AC344E83366B316A06258C2D005424F2/$File/LTAIPSLP84XXXIII.xlsx</w:t>
        </w:r>
      </w:hyperlink>
    </w:p>
    <w:p w14:paraId="472BEEA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FEBRERO 2025</w:t>
      </w:r>
    </w:p>
    <w:p w14:paraId="7B70026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2" w:tooltip="http://www.cegaipslp.org.mx/webcegaip2025.nsf/nombre_de_la_vista/EABA160B9472C70706258C46005DF795/$File/LTAIPSLP84XXXIII.xlsx" w:history="1">
        <w:r w:rsidR="00D21027" w:rsidRPr="00D21027">
          <w:rPr>
            <w:rStyle w:val="Hyperlink"/>
            <w:rFonts w:ascii="Arial" w:eastAsia="Times New Roman" w:hAnsi="Arial" w:cs="Arial"/>
            <w:i/>
            <w:iCs/>
            <w:lang w:eastAsia="es-ES"/>
          </w:rPr>
          <w:t>http://www.cegaipslp.org.mx/webcegaip2025.nsf/nombre_de_la_vista/EABA160B9472C70706258C46005DF795/$File/LTAIPSLP84XXXIII.xlsx</w:t>
        </w:r>
      </w:hyperlink>
    </w:p>
    <w:p w14:paraId="1318A23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MARZO 2025</w:t>
      </w:r>
    </w:p>
    <w:p w14:paraId="33145420"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3" w:tooltip="http://www.cegaipslp.org.mx/webcegaip2025.nsf/nombre_de_la_vista/4F8D633EF27578E006258C67006272D2/$File/LTAIPSLP84XXXIII.xlsx" w:history="1">
        <w:r w:rsidR="00D21027" w:rsidRPr="00D21027">
          <w:rPr>
            <w:rStyle w:val="Hyperlink"/>
            <w:rFonts w:ascii="Arial" w:eastAsia="Times New Roman" w:hAnsi="Arial" w:cs="Arial"/>
            <w:i/>
            <w:iCs/>
            <w:lang w:eastAsia="es-ES"/>
          </w:rPr>
          <w:t>http://www.cegaipslp.org.mx/webcegaip2025.nsf/nombre_de_la_vista/4F8D633EF27578E006258C67006272D2/$File/LTAIPSLP84XXXIII.xlsx</w:t>
        </w:r>
      </w:hyperlink>
    </w:p>
    <w:p w14:paraId="2DEC2D4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ABRIL 2025</w:t>
      </w:r>
    </w:p>
    <w:p w14:paraId="5892254E"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4" w:tooltip="http://www.cegaipslp.org.mx/webcegaip2025.nsf/nombre_de_la_vista/63E95AE4A855744E06258C8500634F19/$File/LTAIPSLP84XXXIII.xlsx" w:history="1">
        <w:r w:rsidR="00D21027" w:rsidRPr="00D21027">
          <w:rPr>
            <w:rStyle w:val="Hyperlink"/>
            <w:rFonts w:ascii="Arial" w:eastAsia="Times New Roman" w:hAnsi="Arial" w:cs="Arial"/>
            <w:i/>
            <w:iCs/>
            <w:lang w:eastAsia="es-ES"/>
          </w:rPr>
          <w:t>http://www.cegaipslp.org.mx/webcegaip2025.nsf/nombre_de_la_vista/63E95AE4A855744E06258C8500634F19/$File/LTAIPSLP84XXXIII.xlsx</w:t>
        </w:r>
      </w:hyperlink>
    </w:p>
    <w:p w14:paraId="79AE0EB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MAYO 2025</w:t>
      </w:r>
    </w:p>
    <w:p w14:paraId="2577FD4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5" w:tooltip="http://www.cegaipslp.org.mx/webcegaip2025.nsf/nombre_de_la_vista/E81673B73419B52306258CA40071BC0A/$File/LTAIPSLP84XXXIII.xlsx" w:history="1">
        <w:r w:rsidR="00D21027" w:rsidRPr="00D21027">
          <w:rPr>
            <w:rStyle w:val="Hyperlink"/>
            <w:rFonts w:ascii="Arial" w:eastAsia="Times New Roman" w:hAnsi="Arial" w:cs="Arial"/>
            <w:i/>
            <w:iCs/>
            <w:lang w:eastAsia="es-ES"/>
          </w:rPr>
          <w:t>http://www.cegaipslp.org.mx/webcegaip2025.nsf/nombre_de_la_vista/E81673B73419B52306258CA40071BC0A/$File/LTAIPSLP84XXXIII.xlsx</w:t>
        </w:r>
      </w:hyperlink>
    </w:p>
    <w:p w14:paraId="073BF1B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JUNIO 2025</w:t>
      </w:r>
    </w:p>
    <w:p w14:paraId="21B5F046"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6" w:tooltip="http://www.cegaipslp.org.mx/webcegaip2025.nsf/nombre_de_la_vista/6F8036433C9F0AA806258CC200588E99/$File/LTAIPSLP84XXXIII.xlsx" w:history="1">
        <w:r w:rsidR="00D21027" w:rsidRPr="00D21027">
          <w:rPr>
            <w:rStyle w:val="Hyperlink"/>
            <w:rFonts w:ascii="Arial" w:eastAsia="Times New Roman" w:hAnsi="Arial" w:cs="Arial"/>
            <w:i/>
            <w:iCs/>
            <w:lang w:eastAsia="es-ES"/>
          </w:rPr>
          <w:t>http://www.cegaipslp.org.mx/webcegaip2025.nsf/nombre_de_la_vista/6F8036433C9F0AA806258CC200588E99/$File/LTAIPSLP84XXXIII.xlsx</w:t>
        </w:r>
      </w:hyperlink>
    </w:p>
    <w:p w14:paraId="5BCF76A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JULIO 2025</w:t>
      </w:r>
    </w:p>
    <w:p w14:paraId="41071073"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7" w:tooltip="http://www.cegaipslp.org.mx/webcegaip2025.nsf/nombre_de_la_vista/823D760646DC735C06258CE00053928F/$File/LTAIPSLP84XXXIII.xlsx" w:history="1">
        <w:r w:rsidR="00D21027" w:rsidRPr="00D21027">
          <w:rPr>
            <w:rStyle w:val="Hyperlink"/>
            <w:rFonts w:ascii="Arial" w:eastAsia="Times New Roman" w:hAnsi="Arial" w:cs="Arial"/>
            <w:i/>
            <w:iCs/>
            <w:lang w:eastAsia="es-ES"/>
          </w:rPr>
          <w:t>http://www.cegaipslp.org.mx/webcegaip2025.nsf/nombre_de_la_vista/823D760646DC735C06258CE00053928F/$File/LTAIPSLP84XXXIII.xlsx</w:t>
        </w:r>
      </w:hyperlink>
    </w:p>
    <w:p w14:paraId="470EDF5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AGOSTO 2025</w:t>
      </w:r>
    </w:p>
    <w:p w14:paraId="209A3AF0"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8" w:tooltip="http://www.cegaipslp.org.mx/webcegaip2025.nsf/nombre_de_la_vista/8CA83FCDE7A676F806258CFF006D2280/$File/LTAIPSLP84XXXIII.xlsx" w:history="1">
        <w:r w:rsidR="00D21027" w:rsidRPr="00D21027">
          <w:rPr>
            <w:rStyle w:val="Hyperlink"/>
            <w:rFonts w:ascii="Arial" w:eastAsia="Times New Roman" w:hAnsi="Arial" w:cs="Arial"/>
            <w:i/>
            <w:iCs/>
            <w:lang w:eastAsia="es-ES"/>
          </w:rPr>
          <w:t>http://www.cegaipslp.org.mx/webcegaip2025.nsf/nombre_de_la_vista/8CA83FCDE7A676F806258CFF006D2280/$File/LTAIPSLP84XXXIII.xlsx</w:t>
        </w:r>
      </w:hyperlink>
    </w:p>
    <w:p w14:paraId="57D3BD1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SEPTIEMBRE 2025</w:t>
      </w:r>
    </w:p>
    <w:p w14:paraId="710AD6A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39" w:tooltip="http://www.cegaipslp.org.mx/webcegaip2025.nsf/nombre_de_la_vista/DA38AFF700045F5B06258D1D006FE8B2/$File/LTAIPSLP84XXXIII.xlsx" w:history="1">
        <w:r w:rsidR="00D21027" w:rsidRPr="00D21027">
          <w:rPr>
            <w:rStyle w:val="Hyperlink"/>
            <w:rFonts w:ascii="Arial" w:eastAsia="Times New Roman" w:hAnsi="Arial" w:cs="Arial"/>
            <w:i/>
            <w:iCs/>
            <w:lang w:eastAsia="es-ES"/>
          </w:rPr>
          <w:t>http://www.cegaipslp.org.mx/webcegaip2025.nsf/nombre_de_la_vista/DA38AFF700045F5B06258D1D006FE8B2/$File/LTAIPSLP84XXXIII.xlsx</w:t>
        </w:r>
      </w:hyperlink>
    </w:p>
    <w:p w14:paraId="47D9ABB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OCTUBRE 2025</w:t>
      </w:r>
    </w:p>
    <w:p w14:paraId="049C9C3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0" w:tooltip="http://www.cegaipslp.org.mx/webcegaip2025.nsf/nombre_de_la_vista/8E9811D9B5E8E20006258D3B006578B6/$File/LTAIPSLP84XXXIII.xlsx" w:history="1">
        <w:r w:rsidR="00D21027" w:rsidRPr="00D21027">
          <w:rPr>
            <w:rStyle w:val="Hyperlink"/>
            <w:rFonts w:ascii="Arial" w:eastAsia="Times New Roman" w:hAnsi="Arial" w:cs="Arial"/>
            <w:i/>
            <w:iCs/>
            <w:lang w:eastAsia="es-ES"/>
          </w:rPr>
          <w:t>http://www.cegaipslp.org.mx/webcegaip2025.nsf/nombre_de_la_vista/8E9811D9B5E8E20006258D3B006578B6/$File/LTAIPSLP84XXXIII.xlsx</w:t>
        </w:r>
      </w:hyperlink>
    </w:p>
    <w:p w14:paraId="0721A79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NOVIEMBRE 2025</w:t>
      </w:r>
    </w:p>
    <w:p w14:paraId="312671B8"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1" w:tooltip="http://www.cegaipslp.org.mx/webcegaip2025.nsf/nombre_de_la_vista/54DD875543E5E99206258D5B0066C8BE/$File/LTAIPSLP84XXXIII.xlsx" w:history="1">
        <w:r w:rsidR="00D21027" w:rsidRPr="00D21027">
          <w:rPr>
            <w:rStyle w:val="Hyperlink"/>
            <w:rFonts w:ascii="Arial" w:eastAsia="Times New Roman" w:hAnsi="Arial" w:cs="Arial"/>
            <w:i/>
            <w:iCs/>
            <w:lang w:eastAsia="es-ES"/>
          </w:rPr>
          <w:t>http://www.cegaipslp.org.mx/webcegaip2025.nsf/nombre_de_la_vista/54DD875543E5E99206258D5B0066C8BE/$File/LTAIPSLP84XXXIII.xlsx</w:t>
        </w:r>
      </w:hyperlink>
    </w:p>
    <w:p w14:paraId="2AE565F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DICIEMBRE 2025</w:t>
      </w:r>
    </w:p>
    <w:p w14:paraId="3D860242"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2" w:tooltip="http://www.cegaipslp.org.mx/webcegaip2025.nsf/nombre_de_la_vista/D22B335BD8B60EBF06258D7A0069BF4E/$File/LTAIPSLP84XXXIII.xlsx" w:history="1">
        <w:r w:rsidR="00D21027" w:rsidRPr="00D21027">
          <w:rPr>
            <w:rStyle w:val="Hyperlink"/>
            <w:rFonts w:ascii="Arial" w:eastAsia="Times New Roman" w:hAnsi="Arial" w:cs="Arial"/>
            <w:i/>
            <w:iCs/>
            <w:lang w:eastAsia="es-ES"/>
          </w:rPr>
          <w:t>http://www.cegaipslp.org.mx/webcegaip2025.nsf/nombre_de_la_vista/D22B335BD8B60EBF06258D7A0069BF4E/$File/LTAIPSLP84XXXIII.xlsx</w:t>
        </w:r>
      </w:hyperlink>
    </w:p>
    <w:p w14:paraId="5911810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F8FEEB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ENERO 2026</w:t>
      </w:r>
    </w:p>
    <w:p w14:paraId="1FC4CD86"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3" w:tooltip="http://www.cegaipslp.org.mx/webcegaip2026.nsf/nombre_de_la_vista/D69100A32DC4D15206258D9A0059F4BD/$File/LTAIPSLP84XXXIII.xlsx" w:history="1">
        <w:r w:rsidR="00D21027" w:rsidRPr="00D21027">
          <w:rPr>
            <w:rStyle w:val="Hyperlink"/>
            <w:rFonts w:ascii="Arial" w:eastAsia="Times New Roman" w:hAnsi="Arial" w:cs="Arial"/>
            <w:i/>
            <w:iCs/>
            <w:lang w:eastAsia="es-ES"/>
          </w:rPr>
          <w:t>http://www.cegaipslp.org.mx/webcegaip2026.nsf/nombre_de_la_vista/D69100A32DC4D15206258D9A0059F4BD/$File/LTAIPSLP84XXXIII.xlsx</w:t>
        </w:r>
      </w:hyperlink>
    </w:p>
    <w:p w14:paraId="5C0D639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FEBRERO 2026</w:t>
      </w:r>
    </w:p>
    <w:p w14:paraId="08B3B1B8"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4" w:tooltip="http://www.cegaipslp.org.mx/webcegaip2026.nsf/nombre_de_la_vista/D3C0D57B7FCF3F7406258DB5006F014A/$File/LTAIPSLP84XXXIII.xlsx" w:history="1">
        <w:r w:rsidR="00D21027" w:rsidRPr="00D21027">
          <w:rPr>
            <w:rStyle w:val="Hyperlink"/>
            <w:rFonts w:ascii="Arial" w:eastAsia="Times New Roman" w:hAnsi="Arial" w:cs="Arial"/>
            <w:i/>
            <w:iCs/>
            <w:lang w:eastAsia="es-ES"/>
          </w:rPr>
          <w:t>http://www.cegaipslp.org.mx/webcegaip2026.nsf/nombre_de_la_vista/D3C0D57B7FCF3F7406258DB5006F014A/$File/LTAIPSLP84XXXIII.xlsx</w:t>
        </w:r>
      </w:hyperlink>
    </w:p>
    <w:p w14:paraId="70B582F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MARZO 2026</w:t>
      </w:r>
    </w:p>
    <w:p w14:paraId="7E6EDEA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5" w:tooltip="http://www.cegaipslp.org.mx/webcegaip2026.nsf/nombre_de_la_vista/D808F68286B9679F06258DD4007267B5/$File/LTAIPSLP84XXXIII.xlsx" w:history="1">
        <w:r w:rsidR="00D21027" w:rsidRPr="00D21027">
          <w:rPr>
            <w:rStyle w:val="Hyperlink"/>
            <w:rFonts w:ascii="Arial" w:eastAsia="Times New Roman" w:hAnsi="Arial" w:cs="Arial"/>
            <w:i/>
            <w:iCs/>
            <w:lang w:eastAsia="es-ES"/>
          </w:rPr>
          <w:t>http://www.cegaipslp.org.mx/webcegaip2026.nsf/nombre_de_la_vista/D808F68286B9679F06258DD4007267B5/$File/LTAIPSLP84XXXIII.xlsx</w:t>
        </w:r>
      </w:hyperlink>
    </w:p>
    <w:p w14:paraId="7E60961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ABRIL 2026</w:t>
      </w:r>
    </w:p>
    <w:p w14:paraId="5A6AE013"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6" w:tooltip="http://www.cegaipslp.org.mx/webcegaip2026.nsf/nombre_de_la_vista/E3CBF18D2D48378706258DF1006DA4EF/$File/LTAIPSLP84XXXIII.xlsx" w:history="1">
        <w:r w:rsidR="00D21027" w:rsidRPr="00D21027">
          <w:rPr>
            <w:rStyle w:val="Hyperlink"/>
            <w:rFonts w:ascii="Arial" w:eastAsia="Times New Roman" w:hAnsi="Arial" w:cs="Arial"/>
            <w:i/>
            <w:iCs/>
            <w:lang w:eastAsia="es-ES"/>
          </w:rPr>
          <w:t>http://www.cegaipslp.org.mx/webcegaip2026.nsf/nombre_de_la_vista/E3CBF18D2D48378706258DF1006DA4EF/$File/LTAIPSLP84XXXIII.xlsx</w:t>
        </w:r>
      </w:hyperlink>
    </w:p>
    <w:p w14:paraId="51230C2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MAYO 2026</w:t>
      </w:r>
    </w:p>
    <w:p w14:paraId="4895E013"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7" w:tooltip="http://www.cegaipslp.org.mx/webcegaip2026.nsf/nombre_de_la_vista/FD09AE440B74ADD306258E11006E5E36/$File/LTAIPSLP84XXXIII.xlsx" w:history="1">
        <w:r w:rsidR="00D21027" w:rsidRPr="00D21027">
          <w:rPr>
            <w:rStyle w:val="Hyperlink"/>
            <w:rFonts w:ascii="Arial" w:eastAsia="Times New Roman" w:hAnsi="Arial" w:cs="Arial"/>
            <w:i/>
            <w:iCs/>
            <w:lang w:eastAsia="es-ES"/>
          </w:rPr>
          <w:t>http://www.cegaipslp.org.mx/webcegaip2026.nsf/nombre_de_la_vista/FD09AE440B74ADD306258E11006E5E36/$File/LTAIPSLP84XXXIII.xlsx</w:t>
        </w:r>
      </w:hyperlink>
    </w:p>
    <w:p w14:paraId="38C223A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JUNIO 2026</w:t>
      </w:r>
    </w:p>
    <w:p w14:paraId="0ADF7779"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8" w:tooltip="http://www.cegaipslp.org.mx/webcegaip2026.nsf/nombre_de_la_vista/D50B06DC095C195C06258E2F00740F0C/$File/LTAIPSLP84XXXIII.xlsx" w:history="1">
        <w:r w:rsidR="00D21027" w:rsidRPr="00D21027">
          <w:rPr>
            <w:rStyle w:val="Hyperlink"/>
            <w:rFonts w:ascii="Arial" w:eastAsia="Times New Roman" w:hAnsi="Arial" w:cs="Arial"/>
            <w:i/>
            <w:iCs/>
            <w:lang w:eastAsia="es-ES"/>
          </w:rPr>
          <w:t>http://www.cegaipslp.org.mx/webcegaip2026.nsf/nombre_de_la_vista/D50B06DC095C195C06258E2F00740F0C/$File/LTAIPSLP84XXXIII.xlsx</w:t>
        </w:r>
      </w:hyperlink>
    </w:p>
    <w:p w14:paraId="39F70558"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JULIO 2026</w:t>
      </w:r>
    </w:p>
    <w:p w14:paraId="5494D723"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49" w:tooltip="http://www.cegaipslp.org.mx/webcegaip2026.nsf/nombre_de_la_vista/FB543265878D1F2A06258E4C0068871A/$File/LTAIPSLP84XXXIII.xlsx" w:history="1">
        <w:r w:rsidR="00D21027" w:rsidRPr="00D21027">
          <w:rPr>
            <w:rStyle w:val="Hyperlink"/>
            <w:rFonts w:ascii="Arial" w:eastAsia="Times New Roman" w:hAnsi="Arial" w:cs="Arial"/>
            <w:i/>
            <w:iCs/>
            <w:lang w:eastAsia="es-ES"/>
          </w:rPr>
          <w:t>http://www.cegaipslp.org.mx/webcegaip2026.nsf/nombre_de_la_vista/FB543265878D1F2A06258E4C0068871A/$File/LTAIPSLP84XXXIII.xlsx</w:t>
        </w:r>
      </w:hyperlink>
    </w:p>
    <w:p w14:paraId="6D0E2F3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AGOSTO 2026</w:t>
      </w:r>
    </w:p>
    <w:p w14:paraId="5435E7C2"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0" w:tooltip="http://www.cegaipslp.org.mx/webcegaip2026.nsf/nombre_de_la_vista/AC3EB9C8AC1B095106258E6D0070AF75/$File/LTAIPSLP84XXXIII.xlsx" w:history="1">
        <w:r w:rsidR="00D21027" w:rsidRPr="00D21027">
          <w:rPr>
            <w:rStyle w:val="Hyperlink"/>
            <w:rFonts w:ascii="Arial" w:eastAsia="Times New Roman" w:hAnsi="Arial" w:cs="Arial"/>
            <w:i/>
            <w:iCs/>
            <w:lang w:eastAsia="es-ES"/>
          </w:rPr>
          <w:t>http://www.cegaipslp.org.mx/webcegaip2026.nsf/nombre_de_la_vista/AC3EB9C8AC1B095106258E6D0070AF75/$File/LTAIPSLP84XXXIII.xlsx</w:t>
        </w:r>
      </w:hyperlink>
    </w:p>
    <w:p w14:paraId="3308DFB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767B019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ARTÍCULO 84, FRACCIÓN XXXVIII</w:t>
      </w:r>
      <w:r w:rsidRPr="00D21027">
        <w:rPr>
          <w:rFonts w:ascii="Arial" w:eastAsia="Times New Roman" w:hAnsi="Arial" w:cs="Arial"/>
          <w:i/>
          <w:iCs/>
          <w:lang w:eastAsia="es-ES"/>
        </w:rPr>
        <w:t> (Padrón de proveedores y contratistas):</w:t>
      </w:r>
    </w:p>
    <w:p w14:paraId="67F9BC3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ENERO 2025</w:t>
      </w:r>
    </w:p>
    <w:p w14:paraId="72B6CEF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1" w:tooltip="http://www.cegaipslp.org.mx/webcegaip2025.nsf/nombre_de_la_vista/AAC584B99B10128D06258C2D0055D199/$File/LTAIPSLP84XXXVIII.xlsx" w:history="1">
        <w:r w:rsidR="00D21027" w:rsidRPr="00D21027">
          <w:rPr>
            <w:rStyle w:val="Hyperlink"/>
            <w:rFonts w:ascii="Arial" w:eastAsia="Times New Roman" w:hAnsi="Arial" w:cs="Arial"/>
            <w:i/>
            <w:iCs/>
            <w:lang w:eastAsia="es-ES"/>
          </w:rPr>
          <w:t>http://www.cegaipslp.org.mx/webcegaip2025.nsf/nombre_de_la_vista/AAC584B99B10128D06258C2D0055D199/$File/LTAIPSLP84XXXVIII.xlsx</w:t>
        </w:r>
      </w:hyperlink>
    </w:p>
    <w:p w14:paraId="6A2EC80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FEBRERO 2025</w:t>
      </w:r>
    </w:p>
    <w:p w14:paraId="1FBC7668"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2" w:tooltip="http://www.cegaipslp.org.mx/webcegaip2025.nsf/nombre_de_la_vista/8D9AE36A3A74824F06258C4900682CC8/$File/LTAIPSLP84XXXVIII.xlsx" w:history="1">
        <w:r w:rsidR="00D21027" w:rsidRPr="00D21027">
          <w:rPr>
            <w:rStyle w:val="Hyperlink"/>
            <w:rFonts w:ascii="Arial" w:eastAsia="Times New Roman" w:hAnsi="Arial" w:cs="Arial"/>
            <w:i/>
            <w:iCs/>
            <w:lang w:eastAsia="es-ES"/>
          </w:rPr>
          <w:t>http://www.cegaipslp.org.mx/webcegaip2025.nsf/nombre_de_la_vista/8D9AE36A3A74824F06258C4900682CC8/$File/LTAIPSLP84XXXVIII.xlsx</w:t>
        </w:r>
      </w:hyperlink>
    </w:p>
    <w:p w14:paraId="1C1740A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MARZO 2025</w:t>
      </w:r>
    </w:p>
    <w:p w14:paraId="431854CF"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3" w:tooltip="http://www.cegaipslp.org.mx/webcegaip2025.nsf/nombre_de_la_vista/B022537F483FD81806258C670061EEF0/$File/LTAIPSLP84XXXVIII.xlsx" w:history="1">
        <w:r w:rsidR="00D21027" w:rsidRPr="00D21027">
          <w:rPr>
            <w:rStyle w:val="Hyperlink"/>
            <w:rFonts w:ascii="Arial" w:eastAsia="Times New Roman" w:hAnsi="Arial" w:cs="Arial"/>
            <w:i/>
            <w:iCs/>
            <w:lang w:eastAsia="es-ES"/>
          </w:rPr>
          <w:t>http://www.cegaipslp.org.mx/webcegaip2025.nsf/nombre_de_la_vista/B022537F483FD81806258C670061EEF0/$File/LTAIPSLP84XXXVIII.xlsx</w:t>
        </w:r>
      </w:hyperlink>
    </w:p>
    <w:p w14:paraId="177A52A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ABRIL 2025</w:t>
      </w:r>
    </w:p>
    <w:p w14:paraId="4AC0C4A0"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4" w:tooltip="http://www.cegaipslp.org.mx/webcegaip2025.nsf/nombre_de_la_vista/87FBF09BE260196106258C8400703BDF/$File/LTAIPSLP84XXXVIII.xlsx" w:history="1">
        <w:r w:rsidR="00D21027" w:rsidRPr="00D21027">
          <w:rPr>
            <w:rStyle w:val="Hyperlink"/>
            <w:rFonts w:ascii="Arial" w:eastAsia="Times New Roman" w:hAnsi="Arial" w:cs="Arial"/>
            <w:i/>
            <w:iCs/>
            <w:lang w:eastAsia="es-ES"/>
          </w:rPr>
          <w:t>http://www.cegaipslp.org.mx/webcegaip2025.nsf/nombre_de_la_vista/87FBF09BE260196106258C8400703BDF/$File/LTAIPSLP84XXXVIII.xlsx</w:t>
        </w:r>
      </w:hyperlink>
    </w:p>
    <w:p w14:paraId="60441BA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MAYO 2025</w:t>
      </w:r>
    </w:p>
    <w:p w14:paraId="2FE65E6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5" w:tooltip="http://www.cegaipslp.org.mx/webcegaip2025.nsf/nombre_de_la_vista/06EBE79C92E0691B06258CA40067228B/$File/LTAIPSLP84XXXVIII.xlsx" w:history="1">
        <w:r w:rsidR="00D21027" w:rsidRPr="00D21027">
          <w:rPr>
            <w:rStyle w:val="Hyperlink"/>
            <w:rFonts w:ascii="Arial" w:eastAsia="Times New Roman" w:hAnsi="Arial" w:cs="Arial"/>
            <w:i/>
            <w:iCs/>
            <w:lang w:eastAsia="es-ES"/>
          </w:rPr>
          <w:t>http://www.cegaipslp.org.mx/webcegaip2025.nsf/nombre_de_la_vista/06EBE79C92E0691B06258CA40067228B/$File/LTAIPSLP84XXXVIII.xlsx</w:t>
        </w:r>
      </w:hyperlink>
    </w:p>
    <w:p w14:paraId="33BFF20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JUNIO 2025</w:t>
      </w:r>
    </w:p>
    <w:p w14:paraId="65B5C0C0"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6" w:tooltip="http://www.cegaipslp.org.mx/webcegaip2025.nsf/nombre_de_la_vista/114F42EA95A9808706258CC00068AC3C/$File/LTAIPSLP84XXXVIII.xlsx" w:history="1">
        <w:r w:rsidR="00D21027" w:rsidRPr="00D21027">
          <w:rPr>
            <w:rStyle w:val="Hyperlink"/>
            <w:rFonts w:ascii="Arial" w:eastAsia="Times New Roman" w:hAnsi="Arial" w:cs="Arial"/>
            <w:i/>
            <w:iCs/>
            <w:lang w:eastAsia="es-ES"/>
          </w:rPr>
          <w:t>http://www.cegaipslp.org.mx/webcegaip2025.nsf/nombre_de_la_vista/114F42EA95A9808706258CC00068AC3C/$File/LTAIPSLP84XXXVIII.xlsx</w:t>
        </w:r>
      </w:hyperlink>
    </w:p>
    <w:p w14:paraId="08B0726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JULIO 2025</w:t>
      </w:r>
    </w:p>
    <w:p w14:paraId="74217510"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7" w:tooltip="http://www.cegaipslp.org.mx/webcegaip2025.nsf/nombre_de_la_vista/8200A07A2DA8860606258CE00059E8BF/$File/LTAIPSLP84XXXVIII.xlsx" w:history="1">
        <w:r w:rsidR="00D21027" w:rsidRPr="00D21027">
          <w:rPr>
            <w:rStyle w:val="Hyperlink"/>
            <w:rFonts w:ascii="Arial" w:eastAsia="Times New Roman" w:hAnsi="Arial" w:cs="Arial"/>
            <w:i/>
            <w:iCs/>
            <w:lang w:eastAsia="es-ES"/>
          </w:rPr>
          <w:t>http://www.cegaipslp.org.mx/webcegaip2025.nsf/nombre_de_la_vista/8200A07A2DA8860606258CE00059E8BF/$File/LTAIPSLP84XXXVIII.xlsx</w:t>
        </w:r>
      </w:hyperlink>
    </w:p>
    <w:p w14:paraId="4294E7F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AGOSTO 2025</w:t>
      </w:r>
    </w:p>
    <w:p w14:paraId="6594B471"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8" w:tooltip="http://www.cegaipslp.org.mx/webcegaip2025.nsf/nombre_de_la_vista/78BEE1151D47507B06258CFF00701A49/$File/LTAIPSLP84XXXVIII.xlsx" w:history="1">
        <w:r w:rsidR="00D21027" w:rsidRPr="00D21027">
          <w:rPr>
            <w:rStyle w:val="Hyperlink"/>
            <w:rFonts w:ascii="Arial" w:eastAsia="Times New Roman" w:hAnsi="Arial" w:cs="Arial"/>
            <w:i/>
            <w:iCs/>
            <w:lang w:eastAsia="es-ES"/>
          </w:rPr>
          <w:t>http://www.cegaipslp.org.mx/webcegaip2025.nsf/nombre_de_la_vista/78BEE1151D47507B06258CFF00701A49/$File/LTAIPSLP84XXXVIII.xlsx</w:t>
        </w:r>
      </w:hyperlink>
    </w:p>
    <w:p w14:paraId="14DB439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SEPTIEMBRE 2025</w:t>
      </w:r>
    </w:p>
    <w:p w14:paraId="3ABCF151"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59" w:tooltip="http://www.cegaipslp.org.mx/webcegaip2025.nsf/nombre_de_la_vista/BCF22BAB94D1701306258D1E00577808/$File/LTAIPSLP84XXXVIII.xlsx" w:history="1">
        <w:r w:rsidR="00D21027" w:rsidRPr="00D21027">
          <w:rPr>
            <w:rStyle w:val="Hyperlink"/>
            <w:rFonts w:ascii="Arial" w:eastAsia="Times New Roman" w:hAnsi="Arial" w:cs="Arial"/>
            <w:i/>
            <w:iCs/>
            <w:lang w:eastAsia="es-ES"/>
          </w:rPr>
          <w:t>http://www.cegaipslp.org.mx/webcegaip2025.nsf/nombre_de_la_vista/BCF22BAB94D1701306258D1E00577808/$File/LTAIPSLP84XXXVIII.xlsx</w:t>
        </w:r>
      </w:hyperlink>
    </w:p>
    <w:p w14:paraId="7D8274C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OCTUBRE 2025</w:t>
      </w:r>
    </w:p>
    <w:p w14:paraId="10C6297F"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0" w:tooltip="http://www.cegaipslp.org.mx/webcegaip2025.nsf/nombre_de_la_vista/2D68B954CE4E0DA406258D3B006802E6/$File/LTAIPSLP84XXXVIII.xlsx" w:history="1">
        <w:r w:rsidR="00D21027" w:rsidRPr="00D21027">
          <w:rPr>
            <w:rStyle w:val="Hyperlink"/>
            <w:rFonts w:ascii="Arial" w:eastAsia="Times New Roman" w:hAnsi="Arial" w:cs="Arial"/>
            <w:i/>
            <w:iCs/>
            <w:lang w:eastAsia="es-ES"/>
          </w:rPr>
          <w:t>http://www.cegaipslp.org.mx/webcegaip2025.nsf/nombre_de_la_vista/2D68B954CE4E0DA406258D3B006802E6/$File/LTAIPSLP84XXXVIII.xlsx</w:t>
        </w:r>
      </w:hyperlink>
    </w:p>
    <w:p w14:paraId="1D3299B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NOVIEMBRE 2025</w:t>
      </w:r>
    </w:p>
    <w:p w14:paraId="3940049B"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1" w:tooltip="http://www.cegaipslp.org.mx/webcegaip2025.nsf/nombre_de_la_vista/122CD50670E7091706258D5B006A6776/$File/LTAIPSLP84XXXVIII.xlsx" w:history="1">
        <w:r w:rsidR="00D21027" w:rsidRPr="00D21027">
          <w:rPr>
            <w:rStyle w:val="Hyperlink"/>
            <w:rFonts w:ascii="Arial" w:eastAsia="Times New Roman" w:hAnsi="Arial" w:cs="Arial"/>
            <w:i/>
            <w:iCs/>
            <w:lang w:eastAsia="es-ES"/>
          </w:rPr>
          <w:t>http://www.cegaipslp.org.mx/webcegaip2025.nsf/nombre_de_la_vista/122CD50670E7091706258D5B006A6776/$File/LTAIPSLP84XXXVIII.xlsx</w:t>
        </w:r>
      </w:hyperlink>
    </w:p>
    <w:p w14:paraId="67FD833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DICIEMBRE 2025</w:t>
      </w:r>
    </w:p>
    <w:p w14:paraId="039F340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2" w:tooltip="http://www.cegaipslp.org.mx/webcegaip2025.nsf/nombre_de_la_vista/62E95FEC59EE101606258D790073882B/$File/LTAIPSLP84XXXVIII.xlsx" w:history="1">
        <w:r w:rsidR="00D21027" w:rsidRPr="00D21027">
          <w:rPr>
            <w:rStyle w:val="Hyperlink"/>
            <w:rFonts w:ascii="Arial" w:eastAsia="Times New Roman" w:hAnsi="Arial" w:cs="Arial"/>
            <w:i/>
            <w:iCs/>
            <w:lang w:eastAsia="es-ES"/>
          </w:rPr>
          <w:t>http://www.cegaipslp.org.mx/webcegaip2025.nsf/nombre_de_la_vista/62E95FEC59EE101606258D790073882B/$File/LTAIPSLP84XXXVIII.xlsx</w:t>
        </w:r>
      </w:hyperlink>
    </w:p>
    <w:p w14:paraId="0D9B33E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623E6F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ENERO 2026</w:t>
      </w:r>
    </w:p>
    <w:p w14:paraId="7A60395D"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3" w:tooltip="http://www.cegaipslp.org.mx/webcegaip2026.nsf/nombre_de_la_vista/618EBBB72BCE4E7006258D99006C6D67/$File/LTAIPSLP84XXXVIII.xlsx" w:history="1">
        <w:r w:rsidR="00D21027" w:rsidRPr="00D21027">
          <w:rPr>
            <w:rStyle w:val="Hyperlink"/>
            <w:rFonts w:ascii="Arial" w:eastAsia="Times New Roman" w:hAnsi="Arial" w:cs="Arial"/>
            <w:i/>
            <w:iCs/>
            <w:lang w:eastAsia="es-ES"/>
          </w:rPr>
          <w:t>http://www.cegaipslp.org.mx/webcegaip2026.nsf/nombre_de_la_vista/618EBBB72BCE4E7006258D99006C6D67/$File/LTAIPSLP84XXXVIII.xlsx</w:t>
        </w:r>
      </w:hyperlink>
    </w:p>
    <w:p w14:paraId="5885A85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FEBRERO 2026</w:t>
      </w:r>
    </w:p>
    <w:p w14:paraId="1A98A9C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4" w:tooltip="http://www.cegaipslp.org.mx/webcegaip2026.nsf/nombre_de_la_vista/83224886C307EB9306258DB600650C54/$File/LTAIPSLP84XXXVIII.xlsx" w:history="1">
        <w:r w:rsidR="00D21027" w:rsidRPr="00D21027">
          <w:rPr>
            <w:rStyle w:val="Hyperlink"/>
            <w:rFonts w:ascii="Arial" w:eastAsia="Times New Roman" w:hAnsi="Arial" w:cs="Arial"/>
            <w:i/>
            <w:iCs/>
            <w:lang w:eastAsia="es-ES"/>
          </w:rPr>
          <w:t>http://www.cegaipslp.org.mx/webcegaip2026.nsf/nombre_de_la_vista/83224886C307EB9306258DB600650C54/$File/LTAIPSLP84XXXVIII.xlsx</w:t>
        </w:r>
      </w:hyperlink>
    </w:p>
    <w:p w14:paraId="6DB57D99"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MARZO 2026</w:t>
      </w:r>
    </w:p>
    <w:p w14:paraId="66A035AA"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5" w:tooltip="http://www.cegaipslp.org.mx/webcegaip2026.nsf/nombre_de_la_vista/BA9BC0827CEE085F06258DD40061BE5B/$File/LTAIPSLP84XXXVIII.xlsx" w:history="1">
        <w:r w:rsidR="00D21027" w:rsidRPr="00D21027">
          <w:rPr>
            <w:rStyle w:val="Hyperlink"/>
            <w:rFonts w:ascii="Arial" w:eastAsia="Times New Roman" w:hAnsi="Arial" w:cs="Arial"/>
            <w:i/>
            <w:iCs/>
            <w:lang w:eastAsia="es-ES"/>
          </w:rPr>
          <w:t>http://www.cegaipslp.org.mx/webcegaip2026.nsf/nombre_de_la_vista/BA9BC0827CEE085F06258DD40061BE5B/$File/LTAIPSLP84XXXVIII.xlsx</w:t>
        </w:r>
      </w:hyperlink>
    </w:p>
    <w:p w14:paraId="2B37A7E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ABRIL 2026</w:t>
      </w:r>
    </w:p>
    <w:p w14:paraId="113221E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6" w:tooltip="http://www.cegaipslp.org.mx/webcegaip2026.nsf/nombre_de_la_vista/22F1F414BFB0DAF906258DF6006AE552/$File/LTAIPSLP84XXXVIII.xlsx" w:history="1">
        <w:r w:rsidR="00D21027" w:rsidRPr="00D21027">
          <w:rPr>
            <w:rStyle w:val="Hyperlink"/>
            <w:rFonts w:ascii="Arial" w:eastAsia="Times New Roman" w:hAnsi="Arial" w:cs="Arial"/>
            <w:i/>
            <w:iCs/>
            <w:lang w:eastAsia="es-ES"/>
          </w:rPr>
          <w:t>http://www.cegaipslp.org.mx/webcegaip2026.nsf/nombre_de_la_vista/22F1F414BFB0DAF906258DF6006AE552/$File/LTAIPSLP84XXXVIII.xlsx</w:t>
        </w:r>
      </w:hyperlink>
    </w:p>
    <w:p w14:paraId="4B4AE5C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lastRenderedPageBreak/>
        <w:t>MAYO 2026</w:t>
      </w:r>
    </w:p>
    <w:p w14:paraId="135E7EE8"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7" w:tooltip="http://www.cegaipslp.org.mx/webcegaip2026.nsf/nombre_de_la_vista/0E479D77F540901306258E1000667DBC/$File/LTAIPSLP84XXXVIII.xlsx" w:history="1">
        <w:r w:rsidR="00D21027" w:rsidRPr="00D21027">
          <w:rPr>
            <w:rStyle w:val="Hyperlink"/>
            <w:rFonts w:ascii="Arial" w:eastAsia="Times New Roman" w:hAnsi="Arial" w:cs="Arial"/>
            <w:i/>
            <w:iCs/>
            <w:lang w:eastAsia="es-ES"/>
          </w:rPr>
          <w:t>http://www.cegaipslp.org.mx/webcegaip2026.nsf/nombre_de_la_vista/0E479D77F540901306258E1000667DBC/$File/LTAIPSLP84XXXVIII.xlsx</w:t>
        </w:r>
      </w:hyperlink>
    </w:p>
    <w:p w14:paraId="2B373BCF"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JUNIO 2026</w:t>
      </w:r>
    </w:p>
    <w:p w14:paraId="00FE5084"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8" w:tooltip="http://www.cegaipslp.org.mx/webcegaip2026.nsf/nombre_de_la_vista/C534891CC077D92206258E2F005F4147/$File/LTAIPSLP84XXXVIII.xlsx" w:history="1">
        <w:r w:rsidR="00D21027" w:rsidRPr="00D21027">
          <w:rPr>
            <w:rStyle w:val="Hyperlink"/>
            <w:rFonts w:ascii="Arial" w:eastAsia="Times New Roman" w:hAnsi="Arial" w:cs="Arial"/>
            <w:i/>
            <w:iCs/>
            <w:lang w:eastAsia="es-ES"/>
          </w:rPr>
          <w:t>http://www.cegaipslp.org.mx/webcegaip2026.nsf/nombre_de_la_vista/C534891CC077D92206258E2F005F4147/$File/LTAIPSLP84XXXVIII.xlsx</w:t>
        </w:r>
      </w:hyperlink>
    </w:p>
    <w:p w14:paraId="3763830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JULIO 2026</w:t>
      </w:r>
    </w:p>
    <w:p w14:paraId="7FA6DB1D"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69" w:tooltip="http://www.cegaipslp.org.mx/webcegaip2026.nsf/nombre_de_la_vista/ADDA35FDF226E66D06258E4C00655CC2/$File/LTAIPSLP84XXXVIII.xlsx" w:history="1">
        <w:r w:rsidR="00D21027" w:rsidRPr="00D21027">
          <w:rPr>
            <w:rStyle w:val="Hyperlink"/>
            <w:rFonts w:ascii="Arial" w:eastAsia="Times New Roman" w:hAnsi="Arial" w:cs="Arial"/>
            <w:i/>
            <w:iCs/>
            <w:lang w:eastAsia="es-ES"/>
          </w:rPr>
          <w:t>http://www.cegaipslp.org.mx/webcegaip2026.nsf/nombre_de_la_vista/ADDA35FDF226E66D06258E4C00655CC2/$File/LTAIPSLP84XXXVIII.xlsx</w:t>
        </w:r>
      </w:hyperlink>
    </w:p>
    <w:p w14:paraId="3F30F3F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AGOSTO 2026</w:t>
      </w:r>
    </w:p>
    <w:p w14:paraId="540B9A67"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70" w:tooltip="http://www.cegaipslp.org.mx/webcegaip2026.nsf/nombre_de_la_vista/E796F05678897F8B06258E6C0063E882/$File/LTAIPSLP84XXXVIII.xlsx" w:history="1">
        <w:r w:rsidR="00D21027" w:rsidRPr="00D21027">
          <w:rPr>
            <w:rStyle w:val="Hyperlink"/>
            <w:rFonts w:ascii="Arial" w:eastAsia="Times New Roman" w:hAnsi="Arial" w:cs="Arial"/>
            <w:i/>
            <w:iCs/>
            <w:lang w:eastAsia="es-ES"/>
          </w:rPr>
          <w:t>http://www.cegaipslp.org.mx/webcegaip2026.nsf/nombre_de_la_vista/E796F05678897F8B06258E6C0063E882/$File/LTAIPSLP84XXXVIII.xlsx</w:t>
        </w:r>
      </w:hyperlink>
    </w:p>
    <w:p w14:paraId="5C2F353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A184F20"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Aportado lo anterior, transparente e íntegro de estos registros electrónicos certifica indubitablemente que los datos financieros, contractuales y de padrón se encuentran sistematizados en formatos abiertos y homologados a nivel estatal y nacional, haciendo plenamente efectivo el derecho del gobernado a corroborar la ausencia de contrataciones y erogaciones respecto de la materia peticionada.</w:t>
      </w:r>
    </w:p>
    <w:p w14:paraId="31A04C8D"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DA59376"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En consecuencia, aplicando el criterio de interpretación relativo a la competencia concurrente y en aras de tutelar y garantizar integralmente el derecho humano de acceso a la información publica consagrado en el artículo 6 de la Constitución Política de los Estados Unidos Mexicanos y en el artículo 17, fracción III, de la Constitución Política del Estado Libre y Soberano de San Luis Potosi, se orienta a la persona solicitante para que dirija su petición ante el Instituto Municipal de Planeación.</w:t>
      </w:r>
    </w:p>
    <w:p w14:paraId="041718B2"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051B1DD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Dicho organismo público descentralizado de la administración pública municipal cuenta con personalidad jurídica, patrimonio propio y autonomía técnica, de conformidad con lo establecido en el Decreto Legislativo 494 publicado en el Periódico Oficial del Estado el 11 de abril de 2006, así como en los artículos 1, 18 fracción I y 38 de la Ley de Ordenamiento Territorial y Desarrollo Urbano del Estado de San Luis Potosi; por tanto, es el IMPLAN la autoridad competente para informar respecto al estado que guardan los estudios técnicos, las consultas públicas, la viabilidad urbana, las determinaciones de la Mesa de Movilidad y las etapas de diseño integral del proyecto de la red ciclista, facultades que le confieren de manera expresa los artículos 3, 33 y 35 de su Decreto de Creación, en armonía con los artículos 3, 27 y 28 de su Reglamento Interno, la debida remisión a este organismo planificador y la consulta a sus repositorios institucionales otorgara a la persona peticionaria certeza jurídica absoluta sobre el estado en que se encuentran los proyectos técnicos previos, mismos que resultan condición sine qua non para que la Dirección de Obras Publicas del H. Ayuntamiento se encuentre facultada para incoar procedimientos de contratación o ejecutar acciones materiales de obra pública, al tenor de los </w:t>
      </w:r>
      <w:r w:rsidRPr="00D21027">
        <w:rPr>
          <w:rFonts w:ascii="Arial" w:eastAsia="Times New Roman" w:hAnsi="Arial" w:cs="Arial"/>
          <w:i/>
          <w:iCs/>
          <w:lang w:eastAsia="es-ES"/>
        </w:rPr>
        <w:lastRenderedPageBreak/>
        <w:t>artículos 35 y 43 de la Ley de Obras Públicas y Servicios Relacionados con las Mismas del Estado de San Luis Potosi.</w:t>
      </w:r>
    </w:p>
    <w:p w14:paraId="7C5464E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4CB084D4"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Para un mejor proveer y en términos del criterio vinculante emitido por el órgano garante federal respecto a la competencia concurrente, en el cual se prevé que los sujetos obligados deben proporcionar la información con la que cuenten y orientar al particular a las demás autoridades competentes, se ponen a disposición de la persona solicitante las direcciones URL oficiales del Instituto Municipal de Planeación, en dichos vínculos se acredita documentalmente que este organismo paramunicipal no ha concluido ni emitido los proyectos ejecutivos definitivos que permitan al Municipio de San Luis Potosi licitar, contratar o ejecutar las obras aludidas:</w:t>
      </w:r>
    </w:p>
    <w:p w14:paraId="2AE4A3C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PROYECTOS</w:t>
      </w:r>
      <w:r w:rsidRPr="00D21027">
        <w:rPr>
          <w:rFonts w:ascii="Arial" w:eastAsia="Times New Roman" w:hAnsi="Arial" w:cs="Arial"/>
          <w:i/>
          <w:iCs/>
          <w:lang w:eastAsia="es-ES"/>
        </w:rPr>
        <w:br/>
      </w:r>
      <w:hyperlink r:id="rId71" w:tooltip="https://sanluisimplan.gob.mx/proyectos/" w:history="1">
        <w:r w:rsidRPr="00D21027">
          <w:rPr>
            <w:rStyle w:val="Hyperlink"/>
            <w:rFonts w:ascii="Arial" w:eastAsia="Times New Roman" w:hAnsi="Arial" w:cs="Arial"/>
            <w:i/>
            <w:iCs/>
            <w:lang w:eastAsia="es-ES"/>
          </w:rPr>
          <w:t>https://sanluisimplan.gob.mx/proyectos/</w:t>
        </w:r>
      </w:hyperlink>
    </w:p>
    <w:p w14:paraId="206C500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PLANES Y PROGRAMAS</w:t>
      </w:r>
    </w:p>
    <w:p w14:paraId="7646051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72" w:tooltip="https://sanluisimplan.gob.mx/planes-y-programas/" w:history="1">
        <w:r w:rsidR="00D21027" w:rsidRPr="00D21027">
          <w:rPr>
            <w:rStyle w:val="Hyperlink"/>
            <w:rFonts w:ascii="Arial" w:eastAsia="Times New Roman" w:hAnsi="Arial" w:cs="Arial"/>
            <w:i/>
            <w:iCs/>
            <w:lang w:eastAsia="es-ES"/>
          </w:rPr>
          <w:t>https://sanluisimplan.gob.mx/planes-y-programas/</w:t>
        </w:r>
      </w:hyperlink>
    </w:p>
    <w:p w14:paraId="773EFFB3"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CONSULTAS PUBLICAS</w:t>
      </w:r>
    </w:p>
    <w:p w14:paraId="46E47209"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73" w:tooltip="https://sanluisimplan.gob.mx/consulta-publica/" w:history="1">
        <w:r w:rsidR="00D21027" w:rsidRPr="00D21027">
          <w:rPr>
            <w:rStyle w:val="Hyperlink"/>
            <w:rFonts w:ascii="Arial" w:eastAsia="Times New Roman" w:hAnsi="Arial" w:cs="Arial"/>
            <w:i/>
            <w:iCs/>
            <w:lang w:eastAsia="es-ES"/>
          </w:rPr>
          <w:t>https://sanluisimplan.gob.mx/consulta-publica/</w:t>
        </w:r>
      </w:hyperlink>
    </w:p>
    <w:p w14:paraId="44F78E6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81FA631"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La presente determinación encuentra su debido sustento legal en los artículos 3 fracción XVIII, 15, 24 fracciones V, IX y XI, 54 fracciones II y IV, 59, 60, 61, 84, 143, 151, 153, 154 y 158 de la Ley de Transparencia y Acceso a la Información Publica del Estado de San Luis Potosi; artículos 129 y 136 de la Ley General de Transparencia y Acceso a la Información Publica; así como en los mandatos de orden público sobre disciplina financiera y transparencia presupuestaria contenidos en los artículos 2, 34, 35, 36, 38, 48, 52 y Titulo Quinto de la Ley General de Contabilidad Gubernamental; artículos 2, 4, 6, 73, 74 y 75 de la Ley de Presupuesto y Responsabilidad Hacendaria del Estado y Municipios de San Luis Potosi; y articulo 18 de la Ley de Disciplina Financiera de las Entidades Federativas y los Municipios.</w:t>
      </w:r>
    </w:p>
    <w:p w14:paraId="2137814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6967C567"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Asimismo, para un mejor proveer y con la finalidad primordial de brindar certeza técnica, procesal y material a la persona peticionaria, se ponen a su entera disposición los datos institucionales de contacto y localización de la Unidad de Transparencia legalmente facultada para conocer de las solicitudes dirigidas a dicho organismo:</w:t>
      </w:r>
    </w:p>
    <w:p w14:paraId="4D0CF23C"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Titular de la Unidad de Transparencia:</w:t>
      </w:r>
      <w:r w:rsidRPr="00D21027">
        <w:rPr>
          <w:rFonts w:ascii="Arial" w:eastAsia="Times New Roman" w:hAnsi="Arial" w:cs="Arial"/>
          <w:i/>
          <w:iCs/>
          <w:lang w:eastAsia="es-ES"/>
        </w:rPr>
        <w:t> Ángel Jesús Ortiz Guel, Titular de la Unidad de Transparencia del IMPLAN.</w:t>
      </w:r>
    </w:p>
    <w:p w14:paraId="04B5BE4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Número telefónico oficial de atención:</w:t>
      </w:r>
      <w:r w:rsidRPr="00D21027">
        <w:rPr>
          <w:rFonts w:ascii="Arial" w:eastAsia="Times New Roman" w:hAnsi="Arial" w:cs="Arial"/>
          <w:i/>
          <w:iCs/>
          <w:lang w:eastAsia="es-ES"/>
        </w:rPr>
        <w:t> (444)814.16.30 (444)814.13.97</w:t>
      </w:r>
    </w:p>
    <w:p w14:paraId="4B5101B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Horario de atención al público:</w:t>
      </w:r>
      <w:r w:rsidRPr="00D21027">
        <w:rPr>
          <w:rFonts w:ascii="Arial" w:eastAsia="Times New Roman" w:hAnsi="Arial" w:cs="Arial"/>
          <w:i/>
          <w:iCs/>
          <w:lang w:eastAsia="es-ES"/>
        </w:rPr>
        <w:t> De lunes a viernes de 09:00 a 16:00 horas, en días hábiles.</w:t>
      </w:r>
    </w:p>
    <w:p w14:paraId="7DBB4FC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b/>
          <w:bCs/>
          <w:i/>
          <w:iCs/>
          <w:lang w:eastAsia="es-ES"/>
        </w:rPr>
        <w:t>Dirección de correo electrónico:</w:t>
      </w:r>
      <w:r w:rsidRPr="00D21027">
        <w:rPr>
          <w:rFonts w:ascii="Arial" w:eastAsia="Times New Roman" w:hAnsi="Arial" w:cs="Arial"/>
          <w:i/>
          <w:iCs/>
          <w:lang w:eastAsia="es-ES"/>
        </w:rPr>
        <w:t> </w:t>
      </w:r>
      <w:hyperlink r:id="rId74" w:tooltip="mailto:transparencia@sanluisimplan.gob.mx" w:history="1">
        <w:r w:rsidRPr="00D21027">
          <w:rPr>
            <w:rStyle w:val="Hyperlink"/>
            <w:rFonts w:ascii="Arial" w:eastAsia="Times New Roman" w:hAnsi="Arial" w:cs="Arial"/>
            <w:i/>
            <w:iCs/>
            <w:lang w:eastAsia="es-ES"/>
          </w:rPr>
          <w:t>transparencia@sanluisimplan.gob.mx</w:t>
        </w:r>
      </w:hyperlink>
    </w:p>
    <w:p w14:paraId="15F042AA"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3D3A1E3E"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xml:space="preserve">Los datos institucionales citados fueron extraídos directamente de los registros de información publica de oficio, validados y publicados por el referido organismo descentralizado en la Plataforma Estatal de Transparencia de la CEGAIP, en estricto cumplimiento al formato normativo LTAIPSLP84XVIII, relativo al </w:t>
      </w:r>
      <w:r w:rsidRPr="00D21027">
        <w:rPr>
          <w:rFonts w:ascii="Arial" w:eastAsia="Times New Roman" w:hAnsi="Arial" w:cs="Arial"/>
          <w:i/>
          <w:iCs/>
          <w:lang w:eastAsia="es-ES"/>
        </w:rPr>
        <w:lastRenderedPageBreak/>
        <w:t>domicilio y datos de contacto de la Unidad de Transparencia, el cual puede ser verificado de manera fehaciente en el siguiente vinculo electrónico:</w:t>
      </w:r>
    </w:p>
    <w:p w14:paraId="79A709FC" w14:textId="77777777" w:rsidR="00D21027" w:rsidRPr="00D21027" w:rsidRDefault="00825696" w:rsidP="00D21027">
      <w:pPr>
        <w:spacing w:after="0" w:line="240" w:lineRule="auto"/>
        <w:ind w:left="1134" w:right="1185"/>
        <w:jc w:val="both"/>
        <w:rPr>
          <w:rFonts w:ascii="Arial" w:eastAsia="Times New Roman" w:hAnsi="Arial" w:cs="Arial"/>
          <w:lang w:eastAsia="es-ES"/>
        </w:rPr>
      </w:pPr>
      <w:hyperlink r:id="rId75" w:tooltip="http://www.cegaipslp.org.mx/webcegaip2026.nsf/nombre_de_la_vista/14E3C8CB9D6546E706258E6E0055507F/$File/LTAIPSLP84XVIII.xlsx?OpenElement" w:history="1">
        <w:r w:rsidR="00D21027" w:rsidRPr="00D21027">
          <w:rPr>
            <w:rStyle w:val="Hyperlink"/>
            <w:rFonts w:ascii="Arial" w:eastAsia="Times New Roman" w:hAnsi="Arial" w:cs="Arial"/>
            <w:i/>
            <w:iCs/>
            <w:lang w:eastAsia="es-ES"/>
          </w:rPr>
          <w:t>http://www.cegaipslp.org.mx/webcegaip2026.nsf/nombre_de_la_vista/14E3C8CB9D6546E706258E6E0055507F/$File/LTAIPSLP84XVIII.xlsx?OpenElement</w:t>
        </w:r>
      </w:hyperlink>
    </w:p>
    <w:p w14:paraId="1837041B"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 </w:t>
      </w:r>
    </w:p>
    <w:p w14:paraId="11A54785" w14:textId="77777777" w:rsidR="00D21027" w:rsidRPr="00D21027" w:rsidRDefault="00D21027" w:rsidP="00D21027">
      <w:pPr>
        <w:spacing w:after="0" w:line="240" w:lineRule="auto"/>
        <w:ind w:left="1134" w:right="1185"/>
        <w:jc w:val="both"/>
        <w:rPr>
          <w:rFonts w:ascii="Arial" w:eastAsia="Times New Roman" w:hAnsi="Arial" w:cs="Arial"/>
          <w:lang w:eastAsia="es-ES"/>
        </w:rPr>
      </w:pPr>
      <w:r w:rsidRPr="00D21027">
        <w:rPr>
          <w:rFonts w:ascii="Arial" w:eastAsia="Times New Roman" w:hAnsi="Arial" w:cs="Arial"/>
          <w:i/>
          <w:iCs/>
          <w:lang w:eastAsia="es-ES"/>
        </w:rPr>
        <w:t>Por todo lo expuesto y fundado, se da respuesta complementaria a la solicitud de cuenta en los términos precisados por los articulos 59, 60, 61, 151, 153 y 158 de la Ley de Transparencia y Acceso a la Información Publica del Estado de San Luis Potosi.</w:t>
      </w:r>
    </w:p>
    <w:p w14:paraId="677C3837" w14:textId="77777777" w:rsidR="00D21027" w:rsidRPr="00D21027" w:rsidRDefault="00D21027" w:rsidP="00D21027">
      <w:pPr>
        <w:spacing w:after="0" w:line="240" w:lineRule="auto"/>
        <w:ind w:left="1134" w:right="1185"/>
        <w:jc w:val="both"/>
        <w:rPr>
          <w:rFonts w:ascii="Arial" w:eastAsia="Times New Roman" w:hAnsi="Arial" w:cs="Arial"/>
          <w:lang w:eastAsia="es-ES"/>
        </w:rPr>
      </w:pPr>
    </w:p>
    <w:p w14:paraId="1C807F8B" w14:textId="77777777" w:rsidR="00D21027" w:rsidRDefault="00D21027" w:rsidP="00ED2CEE">
      <w:pPr>
        <w:spacing w:after="0" w:line="360" w:lineRule="auto"/>
        <w:ind w:firstLine="708"/>
        <w:jc w:val="both"/>
        <w:rPr>
          <w:rFonts w:ascii="Arial" w:eastAsia="Times New Roman" w:hAnsi="Arial" w:cs="Arial"/>
          <w:sz w:val="24"/>
          <w:szCs w:val="24"/>
          <w:lang w:eastAsia="es-ES"/>
        </w:rPr>
      </w:pPr>
    </w:p>
    <w:p w14:paraId="212FAE96" w14:textId="1B4A64D2" w:rsidR="000105B5" w:rsidRDefault="00D21027" w:rsidP="00ED2CEE">
      <w:pPr>
        <w:spacing w:after="0" w:line="360" w:lineRule="auto"/>
        <w:ind w:firstLine="708"/>
        <w:jc w:val="both"/>
        <w:rPr>
          <w:rFonts w:ascii="Arial" w:eastAsia="Times New Roman" w:hAnsi="Arial" w:cs="Arial"/>
          <w:sz w:val="24"/>
          <w:szCs w:val="24"/>
          <w:lang w:eastAsia="es-ES"/>
        </w:rPr>
      </w:pPr>
      <w:r>
        <w:rPr>
          <w:rFonts w:ascii="Arial" w:eastAsia="Times New Roman" w:hAnsi="Arial" w:cs="Arial"/>
          <w:sz w:val="24"/>
          <w:szCs w:val="24"/>
          <w:lang w:eastAsia="es-ES"/>
        </w:rPr>
        <w:t>E</w:t>
      </w:r>
      <w:r w:rsidR="000105B5">
        <w:rPr>
          <w:rFonts w:ascii="Arial" w:eastAsia="Times New Roman" w:hAnsi="Arial" w:cs="Arial"/>
          <w:sz w:val="24"/>
          <w:szCs w:val="24"/>
          <w:lang w:eastAsia="es-ES"/>
        </w:rPr>
        <w:t xml:space="preserve">n lo que respecta a la parte recurrente, se asentó que no rindió manifestación alguna en la instrucción del presente procedimiento. </w:t>
      </w:r>
    </w:p>
    <w:p w14:paraId="267BF88D" w14:textId="77777777" w:rsidR="000105B5" w:rsidRDefault="000105B5" w:rsidP="0093057A">
      <w:pPr>
        <w:spacing w:after="0" w:line="360" w:lineRule="auto"/>
        <w:ind w:firstLine="708"/>
        <w:jc w:val="both"/>
        <w:rPr>
          <w:rFonts w:ascii="Arial" w:eastAsia="Times New Roman" w:hAnsi="Arial" w:cs="Arial"/>
          <w:bCs/>
          <w:sz w:val="24"/>
          <w:szCs w:val="24"/>
          <w:lang w:eastAsia="es-ES"/>
        </w:rPr>
      </w:pPr>
    </w:p>
    <w:p w14:paraId="170F0257" w14:textId="34C93827" w:rsidR="0093057A" w:rsidRPr="005475F3" w:rsidRDefault="00BB4692" w:rsidP="0093057A">
      <w:pPr>
        <w:spacing w:after="0" w:line="360" w:lineRule="auto"/>
        <w:ind w:firstLine="708"/>
        <w:jc w:val="both"/>
        <w:rPr>
          <w:rFonts w:ascii="Arial" w:hAnsi="Arial" w:cs="Arial"/>
          <w:b/>
          <w:sz w:val="24"/>
          <w:szCs w:val="24"/>
        </w:rPr>
      </w:pPr>
      <w:r>
        <w:rPr>
          <w:rFonts w:ascii="Arial" w:eastAsia="Times New Roman" w:hAnsi="Arial" w:cs="Arial"/>
          <w:bCs/>
          <w:sz w:val="24"/>
          <w:szCs w:val="24"/>
          <w:lang w:eastAsia="es-ES"/>
        </w:rPr>
        <w:t>Finalmente</w:t>
      </w:r>
      <w:r w:rsidR="0093057A" w:rsidRPr="005475F3">
        <w:rPr>
          <w:rFonts w:ascii="Arial" w:eastAsia="Times New Roman" w:hAnsi="Arial" w:cs="Arial"/>
          <w:bCs/>
          <w:sz w:val="24"/>
          <w:szCs w:val="24"/>
          <w:lang w:eastAsia="es-ES"/>
        </w:rPr>
        <w:t xml:space="preserve">, en el acuerdo de referencia, </w:t>
      </w:r>
      <w:r w:rsidR="0093057A" w:rsidRPr="005475F3">
        <w:rPr>
          <w:rFonts w:ascii="Arial" w:hAnsi="Arial" w:cs="Arial"/>
          <w:sz w:val="24"/>
          <w:szCs w:val="24"/>
        </w:rPr>
        <w:t>se decretó el Cierre de Instrucción del expediente formado con motivo del presente recurso de revisión, a fin de que la ponente presentara el proyecto de resolución correspondiente.</w:t>
      </w:r>
      <w:r w:rsidR="0093057A" w:rsidRPr="005475F3">
        <w:rPr>
          <w:rFonts w:ascii="Arial" w:hAnsi="Arial" w:cs="Arial"/>
          <w:b/>
          <w:sz w:val="24"/>
          <w:szCs w:val="24"/>
        </w:rPr>
        <w:t xml:space="preserve"> </w:t>
      </w:r>
    </w:p>
    <w:p w14:paraId="78D01291" w14:textId="3D660D08" w:rsidR="00904021" w:rsidRPr="005475F3" w:rsidRDefault="00904021" w:rsidP="0093057A">
      <w:pPr>
        <w:spacing w:after="0" w:line="360" w:lineRule="auto"/>
        <w:ind w:firstLine="708"/>
        <w:jc w:val="both"/>
        <w:rPr>
          <w:rFonts w:ascii="Arial" w:hAnsi="Arial" w:cs="Arial"/>
          <w:b/>
          <w:sz w:val="24"/>
          <w:szCs w:val="24"/>
        </w:rPr>
      </w:pPr>
    </w:p>
    <w:p w14:paraId="11E529EF" w14:textId="0D293BFF" w:rsidR="00904021" w:rsidRPr="005475F3" w:rsidRDefault="00904021" w:rsidP="00904021">
      <w:pPr>
        <w:spacing w:after="0" w:line="360" w:lineRule="auto"/>
        <w:ind w:firstLine="708"/>
        <w:jc w:val="both"/>
        <w:rPr>
          <w:rFonts w:ascii="Arial" w:hAnsi="Arial" w:cs="Arial"/>
          <w:sz w:val="24"/>
          <w:szCs w:val="24"/>
        </w:rPr>
      </w:pPr>
      <w:r w:rsidRPr="005475F3">
        <w:rPr>
          <w:rFonts w:ascii="Arial" w:hAnsi="Arial" w:cs="Arial"/>
          <w:sz w:val="24"/>
          <w:szCs w:val="24"/>
        </w:rPr>
        <w:t xml:space="preserve">En razón de que fue debidamente sustanciado el expediente y no existe diligencia pendiente de desahogo, se emite la Resolución </w:t>
      </w:r>
      <w:r w:rsidR="00C94280" w:rsidRPr="005475F3">
        <w:rPr>
          <w:rFonts w:ascii="Arial" w:hAnsi="Arial" w:cs="Arial"/>
          <w:sz w:val="24"/>
          <w:szCs w:val="24"/>
        </w:rPr>
        <w:t xml:space="preserve">conforme los siguientes: </w:t>
      </w:r>
    </w:p>
    <w:p w14:paraId="3D69BEB0" w14:textId="77777777" w:rsidR="00904021" w:rsidRPr="005475F3" w:rsidRDefault="00904021" w:rsidP="006D3B1C">
      <w:pPr>
        <w:spacing w:after="0" w:line="360" w:lineRule="auto"/>
        <w:jc w:val="center"/>
        <w:outlineLvl w:val="0"/>
        <w:rPr>
          <w:rFonts w:ascii="Arial" w:eastAsia="Times New Roman" w:hAnsi="Arial" w:cs="Arial"/>
          <w:b/>
          <w:sz w:val="24"/>
          <w:szCs w:val="24"/>
          <w:lang w:val="pt-BR" w:eastAsia="es-ES"/>
        </w:rPr>
      </w:pPr>
    </w:p>
    <w:p w14:paraId="468F1B19" w14:textId="6FA9891D"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r w:rsidRPr="005475F3">
        <w:rPr>
          <w:rFonts w:ascii="Arial" w:eastAsia="Times New Roman" w:hAnsi="Arial" w:cs="Arial"/>
          <w:b/>
          <w:sz w:val="24"/>
          <w:szCs w:val="24"/>
          <w:lang w:val="pt-BR" w:eastAsia="es-ES"/>
        </w:rPr>
        <w:t>C O N S I D E R A N D O</w:t>
      </w:r>
      <w:r w:rsidR="00C94280" w:rsidRPr="005475F3">
        <w:rPr>
          <w:rFonts w:ascii="Arial" w:eastAsia="Times New Roman" w:hAnsi="Arial" w:cs="Arial"/>
          <w:b/>
          <w:sz w:val="24"/>
          <w:szCs w:val="24"/>
          <w:lang w:val="pt-BR" w:eastAsia="es-ES"/>
        </w:rPr>
        <w:t xml:space="preserve"> S</w:t>
      </w:r>
    </w:p>
    <w:p w14:paraId="7B0F7089" w14:textId="77777777" w:rsidR="006D3B1C" w:rsidRPr="005475F3" w:rsidRDefault="006D3B1C" w:rsidP="006D3B1C">
      <w:pPr>
        <w:spacing w:after="0" w:line="360" w:lineRule="auto"/>
        <w:jc w:val="center"/>
        <w:outlineLvl w:val="0"/>
        <w:rPr>
          <w:rFonts w:ascii="Arial" w:eastAsia="Times New Roman" w:hAnsi="Arial" w:cs="Arial"/>
          <w:b/>
          <w:sz w:val="24"/>
          <w:szCs w:val="24"/>
          <w:lang w:val="pt-BR" w:eastAsia="es-ES"/>
        </w:rPr>
      </w:pPr>
    </w:p>
    <w:p w14:paraId="2B91BD00" w14:textId="0EAC4648" w:rsidR="00ED2CEE" w:rsidRDefault="006D3B1C" w:rsidP="00ED2CEE">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PRIMERO.</w:t>
      </w:r>
      <w:r w:rsidRPr="005475F3">
        <w:rPr>
          <w:rFonts w:ascii="Arial" w:eastAsia="Arial Unicode MS" w:hAnsi="Arial" w:cs="Arial"/>
          <w:b/>
          <w:sz w:val="24"/>
          <w:szCs w:val="24"/>
          <w:lang w:eastAsia="es-ES"/>
        </w:rPr>
        <w:t> </w:t>
      </w:r>
      <w:r w:rsidRPr="005475F3">
        <w:rPr>
          <w:rFonts w:ascii="Arial" w:eastAsia="Arial Unicode MS" w:hAnsi="Arial" w:cs="Arial"/>
          <w:b/>
          <w:bCs/>
          <w:sz w:val="24"/>
          <w:szCs w:val="24"/>
          <w:lang w:eastAsia="es-ES"/>
        </w:rPr>
        <w:t>Competencia.</w:t>
      </w:r>
      <w:r w:rsidRPr="005475F3">
        <w:rPr>
          <w:rFonts w:ascii="Arial" w:eastAsia="Arial Unicode MS" w:hAnsi="Arial" w:cs="Arial"/>
          <w:b/>
          <w:sz w:val="24"/>
          <w:szCs w:val="24"/>
          <w:lang w:eastAsia="es-ES"/>
        </w:rPr>
        <w:t> </w:t>
      </w:r>
      <w:r w:rsidR="00ED2CEE">
        <w:rPr>
          <w:rFonts w:ascii="Arial" w:eastAsia="Arial Unicode MS" w:hAnsi="Arial" w:cs="Arial"/>
          <w:sz w:val="24"/>
          <w:szCs w:val="24"/>
          <w:lang w:eastAsia="es-ES"/>
        </w:rPr>
        <w:t xml:space="preserve"> </w:t>
      </w:r>
      <w:r w:rsidR="00ED2CEE" w:rsidRPr="00ED2CEE">
        <w:rPr>
          <w:rFonts w:ascii="Arial" w:eastAsia="Arial Unicode MS" w:hAnsi="Arial" w:cs="Arial"/>
          <w:sz w:val="24"/>
          <w:szCs w:val="24"/>
          <w:lang w:eastAsia="es-ES"/>
        </w:rPr>
        <w:t>El Pleno de esta Comisión Estatal de Garantía de Acceso a la Información Pública es competente para resolver el presente recurso de revisión de conformidad con el Transitorio OCTAVO</w:t>
      </w:r>
      <w:r w:rsidR="009F1E9E">
        <w:rPr>
          <w:rFonts w:ascii="Arial" w:eastAsia="Arial Unicode MS" w:hAnsi="Arial" w:cs="Arial"/>
          <w:sz w:val="24"/>
          <w:szCs w:val="24"/>
          <w:lang w:eastAsia="es-ES"/>
        </w:rPr>
        <w:t xml:space="preserve"> y NOVENO</w:t>
      </w:r>
      <w:r w:rsidR="00ED2CEE" w:rsidRPr="00ED2CEE">
        <w:rPr>
          <w:rFonts w:ascii="Arial" w:eastAsia="Arial Unicode MS" w:hAnsi="Arial" w:cs="Arial"/>
          <w:sz w:val="24"/>
          <w:szCs w:val="24"/>
          <w:lang w:eastAsia="es-ES"/>
        </w:rPr>
        <w:t xml:space="preserve"> del DECRETO 0506, publicado en la edición extraordinaria del miércoles 01 primero de abril de 2026 dos mil veintiséis, del Periódico Oficial del Estado de San Luis Potosí; </w:t>
      </w:r>
      <w:r w:rsidR="009F1E9E">
        <w:rPr>
          <w:rFonts w:ascii="Arial" w:eastAsia="Arial Unicode MS" w:hAnsi="Arial" w:cs="Arial"/>
          <w:sz w:val="24"/>
          <w:szCs w:val="24"/>
          <w:lang w:eastAsia="es-ES"/>
        </w:rPr>
        <w:t xml:space="preserve">así como su reforma publicada el 29 veintinueve de junio de 2026 dos mil veintiséis, por el mismo medio; </w:t>
      </w:r>
      <w:r w:rsidR="00ED2CEE" w:rsidRPr="00ED2CEE">
        <w:rPr>
          <w:rFonts w:ascii="Arial" w:eastAsia="Arial Unicode MS" w:hAnsi="Arial" w:cs="Arial"/>
          <w:sz w:val="24"/>
          <w:szCs w:val="24"/>
          <w:lang w:eastAsia="es-ES"/>
        </w:rPr>
        <w:t>artículos 34 fracción I y II, 35 fracción I, 174 fracción VII y 175 de la Ley de Transparencia y Acceso a la Información Pública del Estado de San Luis Potosí; así como de los artículos 2°, 5º, 8 fracción I y II, 9°, 11 y 12, fracciones I, XI y XXV del Reglamento Interior de la Comisión Estatal de Garantía de Acceso a la Información Pública. </w:t>
      </w:r>
    </w:p>
    <w:p w14:paraId="20B8B078" w14:textId="0EE62296" w:rsidR="009F1E9E" w:rsidRDefault="009F1E9E" w:rsidP="00ED2CEE">
      <w:pPr>
        <w:spacing w:after="0" w:line="360" w:lineRule="auto"/>
        <w:ind w:firstLine="708"/>
        <w:jc w:val="both"/>
        <w:rPr>
          <w:rFonts w:ascii="Arial" w:eastAsia="Arial Unicode MS" w:hAnsi="Arial" w:cs="Arial"/>
          <w:sz w:val="24"/>
          <w:szCs w:val="24"/>
          <w:lang w:eastAsia="es-ES"/>
        </w:rPr>
      </w:pPr>
    </w:p>
    <w:p w14:paraId="02C3D91A" w14:textId="77777777" w:rsidR="009439B3" w:rsidRPr="00F9028F" w:rsidRDefault="006D3B1C" w:rsidP="009439B3">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sz w:val="24"/>
          <w:szCs w:val="24"/>
          <w:lang w:eastAsia="es-ES"/>
        </w:rPr>
        <w:lastRenderedPageBreak/>
        <w:t xml:space="preserve">SEGUNDO. Legitimidad. </w:t>
      </w:r>
      <w:r w:rsidR="009439B3" w:rsidRPr="00F9028F">
        <w:rPr>
          <w:rFonts w:ascii="Arial" w:eastAsia="Arial Unicode MS" w:hAnsi="Arial" w:cs="Arial"/>
          <w:bCs/>
          <w:sz w:val="24"/>
          <w:szCs w:val="24"/>
          <w:lang w:eastAsia="es-ES"/>
        </w:rPr>
        <w:t xml:space="preserve">El Recurso de Revisión fue interpuesto por la parte legitimada, ya que la impugnación que se examina fue realizada </w:t>
      </w:r>
      <w:r w:rsidR="009439B3">
        <w:rPr>
          <w:rFonts w:ascii="Arial" w:eastAsia="Arial Unicode MS" w:hAnsi="Arial" w:cs="Arial"/>
          <w:bCs/>
          <w:sz w:val="24"/>
          <w:szCs w:val="24"/>
          <w:lang w:eastAsia="es-ES"/>
        </w:rPr>
        <w:t xml:space="preserve">por la persona particular que presentó la solicitud de acceso a la información pública, </w:t>
      </w:r>
      <w:r w:rsidR="009439B3" w:rsidRPr="008E2C6E">
        <w:rPr>
          <w:rFonts w:ascii="Arial" w:eastAsia="Arial Unicode MS" w:hAnsi="Arial" w:cs="Arial"/>
          <w:bCs/>
          <w:sz w:val="24"/>
          <w:szCs w:val="24"/>
          <w:lang w:eastAsia="es-ES"/>
        </w:rPr>
        <w:t>circunstancia que se equipara</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al principio de instancia de parte agraviada porque garantiza la identidad de</w:t>
      </w:r>
      <w:r w:rsidR="009439B3">
        <w:rPr>
          <w:rFonts w:ascii="Arial" w:eastAsia="Arial Unicode MS" w:hAnsi="Arial" w:cs="Arial"/>
          <w:bCs/>
          <w:sz w:val="24"/>
          <w:szCs w:val="24"/>
          <w:lang w:eastAsia="es-ES"/>
        </w:rPr>
        <w:t xml:space="preserve"> </w:t>
      </w:r>
      <w:r w:rsidR="009439B3" w:rsidRPr="008E2C6E">
        <w:rPr>
          <w:rFonts w:ascii="Arial" w:eastAsia="Arial Unicode MS" w:hAnsi="Arial" w:cs="Arial"/>
          <w:bCs/>
          <w:sz w:val="24"/>
          <w:szCs w:val="24"/>
          <w:lang w:eastAsia="es-ES"/>
        </w:rPr>
        <w:t>quien promueve el presente recurso de revisión.</w:t>
      </w:r>
    </w:p>
    <w:p w14:paraId="77928AF3" w14:textId="38870AF4" w:rsidR="006D3B1C" w:rsidRPr="005475F3" w:rsidRDefault="006D3B1C" w:rsidP="009439B3">
      <w:pPr>
        <w:spacing w:after="0" w:line="360" w:lineRule="auto"/>
        <w:ind w:firstLine="708"/>
        <w:jc w:val="both"/>
        <w:rPr>
          <w:rFonts w:ascii="Arial" w:eastAsia="Arial Unicode MS" w:hAnsi="Arial" w:cs="Arial"/>
          <w:bCs/>
          <w:sz w:val="24"/>
          <w:szCs w:val="24"/>
          <w:lang w:eastAsia="es-ES"/>
        </w:rPr>
      </w:pPr>
    </w:p>
    <w:p w14:paraId="1AC3A37D" w14:textId="77777777" w:rsidR="00FA5019" w:rsidRPr="005475F3" w:rsidRDefault="00FA5019" w:rsidP="00FA5019">
      <w:pPr>
        <w:spacing w:after="0" w:line="360" w:lineRule="auto"/>
        <w:ind w:firstLine="708"/>
        <w:jc w:val="both"/>
        <w:rPr>
          <w:rFonts w:ascii="Arial" w:eastAsia="Arial Unicode MS" w:hAnsi="Arial" w:cs="Arial"/>
          <w:iCs/>
          <w:sz w:val="24"/>
          <w:szCs w:val="24"/>
          <w:lang w:eastAsia="es-ES"/>
        </w:rPr>
      </w:pPr>
      <w:bookmarkStart w:id="1" w:name="_Hlk111068002"/>
      <w:r w:rsidRPr="005475F3">
        <w:rPr>
          <w:rFonts w:ascii="Arial" w:eastAsia="Arial Unicode MS" w:hAnsi="Arial" w:cs="Arial"/>
          <w:b/>
          <w:sz w:val="24"/>
          <w:szCs w:val="24"/>
          <w:lang w:eastAsia="es-ES"/>
        </w:rPr>
        <w:t xml:space="preserve">TERCERO. Improcedencia. </w:t>
      </w:r>
      <w:r w:rsidRPr="005475F3">
        <w:rPr>
          <w:rFonts w:ascii="Arial" w:eastAsia="Arial Unicode MS" w:hAnsi="Arial" w:cs="Arial"/>
          <w:sz w:val="24"/>
          <w:szCs w:val="24"/>
          <w:lang w:eastAsia="es-ES"/>
        </w:rPr>
        <w:t>Por cuestión de técnica jurídica y previo al análisis de fondo del presente recurso de revisión, esta Comisión realizará un estudio de oficio respecto de las causales de improcedencia, aún y cuando el sujeto obligado no las haya hecho valer, toda vez que debe tomarse en consideración que dichas causales están relacionadas con aspectos necesarios para la válida constitución de un proceso y, al tratarse de una cuestión de orden público, su estudio debe ser preferente; sirve de apoyo a lo anterior, la jurisprudencia que por analogía resulta aplicable y que a la letra señala:</w:t>
      </w:r>
    </w:p>
    <w:p w14:paraId="5E63A669"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r w:rsidRPr="005475F3">
        <w:rPr>
          <w:rFonts w:ascii="Arial" w:eastAsia="Arial Unicode MS" w:hAnsi="Arial" w:cs="Arial"/>
          <w:b/>
          <w:sz w:val="24"/>
          <w:szCs w:val="24"/>
          <w:lang w:eastAsia="es-ES"/>
        </w:rPr>
        <w:tab/>
      </w:r>
    </w:p>
    <w:p w14:paraId="2FF3E63C" w14:textId="77777777" w:rsidR="00FA5019" w:rsidRPr="005475F3" w:rsidRDefault="00FA5019" w:rsidP="00FA5019">
      <w:pPr>
        <w:spacing w:after="0" w:line="240" w:lineRule="auto"/>
        <w:ind w:left="1134" w:right="1183"/>
        <w:jc w:val="both"/>
        <w:rPr>
          <w:rFonts w:ascii="Arial" w:eastAsia="Arial Unicode MS" w:hAnsi="Arial" w:cs="Arial"/>
          <w:iCs/>
          <w:lang w:val="es-ES_tradnl" w:eastAsia="es-ES"/>
        </w:rPr>
      </w:pPr>
      <w:r w:rsidRPr="005475F3">
        <w:rPr>
          <w:rFonts w:ascii="Arial" w:eastAsia="Arial Unicode MS" w:hAnsi="Arial" w:cs="Arial"/>
          <w:iCs/>
          <w:lang w:eastAsia="es-ES"/>
        </w:rPr>
        <w:t>“</w:t>
      </w:r>
      <w:r w:rsidRPr="005475F3">
        <w:rPr>
          <w:rFonts w:ascii="Arial" w:eastAsia="Arial Unicode MS" w:hAnsi="Arial" w:cs="Arial"/>
          <w:b/>
          <w:iCs/>
          <w:lang w:eastAsia="es-ES"/>
        </w:rPr>
        <w:t>IMPROCEDENCIA.</w:t>
      </w:r>
      <w:r w:rsidRPr="005475F3">
        <w:rPr>
          <w:rFonts w:ascii="Arial" w:eastAsia="Arial Unicode MS" w:hAnsi="Arial" w:cs="Arial"/>
          <w:iCs/>
          <w:lang w:eastAsia="es-ES"/>
        </w:rPr>
        <w:t xml:space="preserve"> Sea que las partes la aleguen o no, debe examinarse previamente la procedencia del juicio de amparo, por ser esa cuestión de orden público en el juicio de garantías</w:t>
      </w:r>
      <w:r w:rsidRPr="005475F3">
        <w:rPr>
          <w:rFonts w:ascii="Arial" w:eastAsia="Arial Unicode MS" w:hAnsi="Arial" w:cs="Arial"/>
          <w:iCs/>
          <w:vertAlign w:val="superscript"/>
          <w:lang w:val="es-ES_tradnl" w:eastAsia="es-ES"/>
        </w:rPr>
        <w:footnoteReference w:id="1"/>
      </w:r>
      <w:r w:rsidRPr="005475F3">
        <w:rPr>
          <w:rFonts w:ascii="Arial" w:eastAsia="Arial Unicode MS" w:hAnsi="Arial" w:cs="Arial"/>
          <w:iCs/>
          <w:lang w:val="es-ES_tradnl" w:eastAsia="es-ES"/>
        </w:rPr>
        <w:t xml:space="preserve">”. </w:t>
      </w:r>
    </w:p>
    <w:p w14:paraId="3AD44857" w14:textId="77777777" w:rsidR="00FA5019" w:rsidRPr="005475F3" w:rsidRDefault="00FA5019" w:rsidP="00FA5019">
      <w:pPr>
        <w:spacing w:after="0" w:line="360" w:lineRule="auto"/>
        <w:ind w:firstLine="708"/>
        <w:jc w:val="both"/>
        <w:rPr>
          <w:rFonts w:ascii="Arial" w:eastAsia="Arial Unicode MS" w:hAnsi="Arial" w:cs="Arial"/>
          <w:b/>
          <w:sz w:val="24"/>
          <w:szCs w:val="24"/>
          <w:lang w:val="es-ES_tradnl" w:eastAsia="es-ES"/>
        </w:rPr>
      </w:pPr>
    </w:p>
    <w:p w14:paraId="7CE80273"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En relación a las causales de improcedencia, el artículo 179 de la Ley de Transparencia y Acceso a la Información Pública del Estado de San Luis Potosí, establece lo siguiente:</w:t>
      </w:r>
    </w:p>
    <w:p w14:paraId="6BB2F59A" w14:textId="77777777" w:rsidR="00FA5019" w:rsidRPr="005475F3" w:rsidRDefault="00FA5019" w:rsidP="00FA5019">
      <w:pPr>
        <w:spacing w:after="0" w:line="360" w:lineRule="auto"/>
        <w:ind w:firstLine="708"/>
        <w:jc w:val="both"/>
        <w:rPr>
          <w:rFonts w:ascii="Arial" w:eastAsia="Arial Unicode MS" w:hAnsi="Arial" w:cs="Arial"/>
          <w:b/>
          <w:sz w:val="24"/>
          <w:szCs w:val="24"/>
          <w:lang w:eastAsia="es-ES"/>
        </w:rPr>
      </w:pPr>
    </w:p>
    <w:p w14:paraId="4B8510A7" w14:textId="77777777" w:rsidR="00FA5019" w:rsidRPr="005475F3" w:rsidRDefault="00FA5019" w:rsidP="00FA5019">
      <w:pPr>
        <w:spacing w:after="0" w:line="240" w:lineRule="auto"/>
        <w:ind w:left="1134" w:right="1183"/>
        <w:jc w:val="both"/>
        <w:rPr>
          <w:rFonts w:ascii="Arial" w:eastAsia="Arial Unicode MS" w:hAnsi="Arial" w:cs="Arial"/>
          <w:lang w:eastAsia="es-ES"/>
        </w:rPr>
      </w:pPr>
      <w:r w:rsidRPr="005475F3">
        <w:rPr>
          <w:rFonts w:ascii="Arial" w:eastAsia="Arial Unicode MS" w:hAnsi="Arial" w:cs="Arial"/>
          <w:b/>
          <w:lang w:eastAsia="es-ES"/>
        </w:rPr>
        <w:t>ARTÍCULO 179.</w:t>
      </w:r>
      <w:r w:rsidRPr="005475F3">
        <w:rPr>
          <w:rFonts w:ascii="Arial" w:eastAsia="Arial Unicode MS" w:hAnsi="Arial" w:cs="Arial"/>
          <w:lang w:eastAsia="es-ES"/>
        </w:rPr>
        <w:t xml:space="preserve"> El recurso será desechado por improcedente cuando: </w:t>
      </w:r>
    </w:p>
    <w:p w14:paraId="4ADCAC50"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Sea extemporáneo por haber transcurrido el plazo establecido en el artículo 166 de la presente Ley; </w:t>
      </w:r>
    </w:p>
    <w:p w14:paraId="0ECB4425"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el Poder Judicial algún recurso o medio de defensa interpuesto por el recurrente; </w:t>
      </w:r>
    </w:p>
    <w:p w14:paraId="2701F312"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esté tramitando ante la CEGAIP algún recurso de revisión por el mismo quejoso en los mismos términos; </w:t>
      </w:r>
    </w:p>
    <w:p w14:paraId="10D6B2CA"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actualice alguno de los supuestos previstos en el artículo 167 de la presente Ley; </w:t>
      </w:r>
    </w:p>
    <w:p w14:paraId="17959A2B"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No se haya desahogado la prevención en los términos establecidos en el artículo 168 de la presente Ley; </w:t>
      </w:r>
    </w:p>
    <w:p w14:paraId="61483298"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impugne la veracidad de la información proporcionada; </w:t>
      </w:r>
    </w:p>
    <w:p w14:paraId="29C9DC4B"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 xml:space="preserve">Se trate de una consulta, o </w:t>
      </w:r>
    </w:p>
    <w:p w14:paraId="4014F260" w14:textId="77777777" w:rsidR="00FA5019" w:rsidRPr="005475F3" w:rsidRDefault="00FA5019" w:rsidP="00586028">
      <w:pPr>
        <w:pStyle w:val="ListParagraph"/>
        <w:numPr>
          <w:ilvl w:val="0"/>
          <w:numId w:val="1"/>
        </w:numPr>
        <w:spacing w:after="0" w:line="240" w:lineRule="auto"/>
        <w:ind w:right="1183"/>
        <w:jc w:val="both"/>
        <w:rPr>
          <w:rFonts w:ascii="Arial" w:eastAsia="Arial Unicode MS" w:hAnsi="Arial" w:cs="Arial"/>
          <w:lang w:eastAsia="es-ES"/>
        </w:rPr>
      </w:pPr>
      <w:r w:rsidRPr="005475F3">
        <w:rPr>
          <w:rFonts w:ascii="Arial" w:eastAsia="Arial Unicode MS" w:hAnsi="Arial" w:cs="Arial"/>
          <w:lang w:eastAsia="es-ES"/>
        </w:rPr>
        <w:t>El recurrente amplíe su solicitud en el recurso de revisión, únicamente respecto de los nuevos contenidos.</w:t>
      </w:r>
    </w:p>
    <w:p w14:paraId="642586F2" w14:textId="77777777" w:rsidR="00373E6F" w:rsidRDefault="00373E6F" w:rsidP="00FA5019">
      <w:pPr>
        <w:spacing w:after="0" w:line="360" w:lineRule="auto"/>
        <w:ind w:firstLine="708"/>
        <w:jc w:val="both"/>
        <w:rPr>
          <w:rFonts w:ascii="Arial" w:eastAsia="Arial Unicode MS" w:hAnsi="Arial" w:cs="Arial"/>
          <w:sz w:val="24"/>
          <w:szCs w:val="24"/>
          <w:lang w:eastAsia="es-ES"/>
        </w:rPr>
      </w:pPr>
    </w:p>
    <w:p w14:paraId="55AEF987" w14:textId="1C64DAAB" w:rsidR="00FA5019" w:rsidRPr="005475F3" w:rsidRDefault="00FA5019" w:rsidP="00FA5019">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Es así que, a continuación, se analizará cada una de las hipótesis que prevé el precepto referido: </w:t>
      </w:r>
    </w:p>
    <w:p w14:paraId="34A79DF7" w14:textId="77777777" w:rsidR="00FA5019" w:rsidRPr="005475F3" w:rsidRDefault="00FA5019" w:rsidP="00FA5019">
      <w:pPr>
        <w:spacing w:after="0" w:line="360" w:lineRule="auto"/>
        <w:ind w:firstLine="708"/>
        <w:jc w:val="both"/>
        <w:rPr>
          <w:rFonts w:ascii="Arial" w:eastAsia="Arial Unicode MS" w:hAnsi="Arial" w:cs="Arial"/>
          <w:b/>
          <w:bCs/>
          <w:sz w:val="24"/>
          <w:szCs w:val="24"/>
          <w:lang w:eastAsia="es-ES"/>
        </w:rPr>
      </w:pPr>
    </w:p>
    <w:p w14:paraId="1D63D21E"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 Oportunidad. </w:t>
      </w:r>
      <w:r w:rsidRPr="005475F3">
        <w:rPr>
          <w:rFonts w:ascii="Arial" w:eastAsia="Arial Unicode MS" w:hAnsi="Arial" w:cs="Arial"/>
          <w:sz w:val="24"/>
          <w:szCs w:val="24"/>
          <w:lang w:eastAsia="es-ES"/>
        </w:rPr>
        <w:t xml:space="preserve">Tal y como se desprende de las constancias que obran en el expediente en el que se actúa, el recurso de revisión fue presentado en tiempo y forma, por lo que se encuentra dentro del plazo establecido por el artículo 166 de la Ley de Transparencia y Acceso a la Información Pública del Estado de San Luis Potosí, para la interposición del recurso de revisión, el cual resulta ser de 15 días hábiles. </w:t>
      </w:r>
    </w:p>
    <w:p w14:paraId="19808405"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7255735A"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II. Litispendencia. </w:t>
      </w:r>
      <w:r w:rsidRPr="005475F3">
        <w:rPr>
          <w:rFonts w:ascii="Arial" w:eastAsia="Arial Unicode MS" w:hAnsi="Arial" w:cs="Arial"/>
          <w:sz w:val="24"/>
          <w:szCs w:val="24"/>
          <w:lang w:eastAsia="es-ES"/>
        </w:rPr>
        <w:t>Esta Comisión no tiene conocimiento de la existencia de algún recurso o medio de defensa en trámite ante los tribunales del Poder Judicial Federal por parte de la persona recurrente, razón por la cual la hipótesis prevista en la fracción II del precepto legal en cuestión no cobra vigencia.</w:t>
      </w:r>
    </w:p>
    <w:p w14:paraId="53374518" w14:textId="77777777" w:rsidR="00FA5019" w:rsidRPr="005475F3" w:rsidRDefault="00FA5019" w:rsidP="00373E6F">
      <w:pPr>
        <w:spacing w:after="0" w:line="360" w:lineRule="auto"/>
        <w:ind w:firstLine="708"/>
        <w:jc w:val="both"/>
        <w:rPr>
          <w:rFonts w:ascii="Arial" w:eastAsia="Arial Unicode MS" w:hAnsi="Arial" w:cs="Arial"/>
          <w:b/>
          <w:sz w:val="24"/>
          <w:szCs w:val="24"/>
          <w:lang w:eastAsia="es-ES"/>
        </w:rPr>
      </w:pPr>
    </w:p>
    <w:p w14:paraId="0A629E3C" w14:textId="3E9ECA98" w:rsidR="00FA5019" w:rsidRDefault="00FA5019" w:rsidP="00373E6F">
      <w:pPr>
        <w:spacing w:after="0" w:line="360" w:lineRule="auto"/>
        <w:ind w:firstLine="708"/>
        <w:jc w:val="both"/>
        <w:rPr>
          <w:rFonts w:ascii="Arial" w:eastAsia="Arial Unicode MS" w:hAnsi="Arial" w:cs="Arial"/>
          <w:sz w:val="24"/>
          <w:szCs w:val="24"/>
        </w:rPr>
      </w:pPr>
      <w:r w:rsidRPr="005475F3">
        <w:rPr>
          <w:rFonts w:ascii="Arial" w:eastAsia="Arial Unicode MS" w:hAnsi="Arial" w:cs="Arial"/>
          <w:b/>
          <w:bCs/>
          <w:sz w:val="24"/>
          <w:szCs w:val="24"/>
        </w:rPr>
        <w:t xml:space="preserve">III. Cosa Juzgada. </w:t>
      </w:r>
      <w:r w:rsidRPr="005475F3">
        <w:rPr>
          <w:rFonts w:ascii="Arial" w:eastAsia="Arial Unicode MS" w:hAnsi="Arial" w:cs="Arial"/>
          <w:sz w:val="24"/>
          <w:szCs w:val="24"/>
        </w:rPr>
        <w:t>Al respecto, se realizó una búsqueda dentro de las bases de datos internas con las que cuenta esta Comisión, advirtiendo que no existe antecedente en el que se haya resuelto en definitiva algún recurso de revisión que versara sobre la misma solicitud de acceso, por lo que no se actualiza la causal de improcedencia establecida en la fracción III del precepto legal que se analiza.</w:t>
      </w:r>
    </w:p>
    <w:p w14:paraId="6CCF08D3" w14:textId="77777777" w:rsidR="00373E6F" w:rsidRPr="005475F3" w:rsidRDefault="00373E6F" w:rsidP="00373E6F">
      <w:pPr>
        <w:spacing w:after="0" w:line="360" w:lineRule="auto"/>
        <w:ind w:firstLine="708"/>
        <w:jc w:val="both"/>
        <w:rPr>
          <w:rFonts w:ascii="Arial" w:eastAsia="Arial Unicode MS" w:hAnsi="Arial" w:cs="Arial"/>
          <w:sz w:val="24"/>
          <w:szCs w:val="24"/>
        </w:rPr>
      </w:pPr>
    </w:p>
    <w:p w14:paraId="045D2896" w14:textId="71D1DF20"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IV. Procedencia. </w:t>
      </w:r>
      <w:r w:rsidRPr="005475F3">
        <w:rPr>
          <w:rFonts w:ascii="Arial" w:eastAsia="Arial Unicode MS" w:hAnsi="Arial" w:cs="Arial"/>
          <w:sz w:val="24"/>
          <w:szCs w:val="24"/>
          <w:lang w:eastAsia="es-ES"/>
        </w:rPr>
        <w:t>Asimismo, se advierte que el presente recurso de revisión actualiza el supuesto de proced</w:t>
      </w:r>
      <w:r w:rsidR="004600CF">
        <w:rPr>
          <w:rFonts w:ascii="Arial" w:eastAsia="Arial Unicode MS" w:hAnsi="Arial" w:cs="Arial"/>
          <w:sz w:val="24"/>
          <w:szCs w:val="24"/>
          <w:lang w:eastAsia="es-ES"/>
        </w:rPr>
        <w:t>encia previsto en la fracción IV</w:t>
      </w:r>
      <w:r w:rsidRPr="005475F3">
        <w:rPr>
          <w:rFonts w:ascii="Arial" w:eastAsia="Arial Unicode MS" w:hAnsi="Arial" w:cs="Arial"/>
          <w:sz w:val="24"/>
          <w:szCs w:val="24"/>
          <w:lang w:eastAsia="es-ES"/>
        </w:rPr>
        <w:t xml:space="preserve"> del artículo 167 de la Ley de Transparencia y Acceso a la Información Pública del Estado, ya que, la persona recurrente aduce </w:t>
      </w:r>
      <w:r w:rsidR="004600CF">
        <w:rPr>
          <w:rFonts w:ascii="Arial" w:eastAsia="Arial Unicode MS" w:hAnsi="Arial" w:cs="Arial"/>
          <w:sz w:val="24"/>
          <w:szCs w:val="24"/>
          <w:lang w:eastAsia="es-ES"/>
        </w:rPr>
        <w:t>la entrega de información incompleta</w:t>
      </w:r>
      <w:r w:rsidRPr="005475F3">
        <w:rPr>
          <w:rFonts w:ascii="Arial" w:eastAsia="Arial Unicode MS" w:hAnsi="Arial" w:cs="Arial"/>
          <w:sz w:val="24"/>
          <w:szCs w:val="24"/>
          <w:lang w:eastAsia="es-ES"/>
        </w:rPr>
        <w:t xml:space="preserve">. </w:t>
      </w:r>
    </w:p>
    <w:p w14:paraId="04EAAC3B"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B93CF16"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t xml:space="preserve">V. Prevención. </w:t>
      </w:r>
      <w:r w:rsidRPr="005475F3">
        <w:rPr>
          <w:rFonts w:ascii="Arial" w:eastAsia="Arial Unicode MS" w:hAnsi="Arial" w:cs="Arial"/>
          <w:sz w:val="24"/>
          <w:szCs w:val="24"/>
          <w:lang w:eastAsia="es-ES"/>
        </w:rPr>
        <w:t xml:space="preserve">De un análisis de las constancias que obran en el expediente en el que se actúa, no consta que se haya efectuado requerimiento alguno a la parte recurrente. </w:t>
      </w:r>
    </w:p>
    <w:p w14:paraId="0033F053" w14:textId="77777777" w:rsidR="00843E8B" w:rsidRDefault="00843E8B" w:rsidP="00373E6F">
      <w:pPr>
        <w:spacing w:after="0" w:line="360" w:lineRule="auto"/>
        <w:ind w:firstLine="708"/>
        <w:jc w:val="both"/>
        <w:rPr>
          <w:rFonts w:ascii="Arial" w:eastAsia="Arial Unicode MS" w:hAnsi="Arial" w:cs="Arial"/>
          <w:b/>
          <w:sz w:val="24"/>
          <w:szCs w:val="24"/>
          <w:lang w:eastAsia="es-ES"/>
        </w:rPr>
      </w:pPr>
    </w:p>
    <w:p w14:paraId="2AEA91C3" w14:textId="1D91DF65"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sz w:val="24"/>
          <w:szCs w:val="24"/>
          <w:lang w:eastAsia="es-ES"/>
        </w:rPr>
        <w:lastRenderedPageBreak/>
        <w:t xml:space="preserve">VI. Veracidad. </w:t>
      </w:r>
      <w:r w:rsidRPr="005475F3">
        <w:rPr>
          <w:rFonts w:ascii="Arial" w:eastAsia="Arial Unicode MS" w:hAnsi="Arial" w:cs="Arial"/>
          <w:sz w:val="24"/>
          <w:szCs w:val="24"/>
          <w:lang w:eastAsia="es-ES"/>
        </w:rPr>
        <w:t xml:space="preserve">De los motivos de agravio esgrimidos, no se evidencia que la intención de la persona recurrente tenga como finalidad controvertir la legalidad de la repuesta otorgada. </w:t>
      </w:r>
    </w:p>
    <w:p w14:paraId="03E6B964"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4562D2BF"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sz w:val="24"/>
          <w:szCs w:val="24"/>
          <w:lang w:eastAsia="es-ES"/>
        </w:rPr>
        <w:t xml:space="preserve"> </w:t>
      </w:r>
      <w:r w:rsidRPr="005475F3">
        <w:rPr>
          <w:rFonts w:ascii="Arial" w:eastAsia="Arial Unicode MS" w:hAnsi="Arial" w:cs="Arial"/>
          <w:b/>
          <w:sz w:val="24"/>
          <w:szCs w:val="24"/>
          <w:lang w:eastAsia="es-ES"/>
        </w:rPr>
        <w:t xml:space="preserve">VII. Consulta. </w:t>
      </w:r>
      <w:r w:rsidRPr="005475F3">
        <w:rPr>
          <w:rFonts w:ascii="Arial" w:eastAsia="Arial Unicode MS" w:hAnsi="Arial" w:cs="Arial"/>
          <w:sz w:val="24"/>
          <w:szCs w:val="24"/>
          <w:lang w:eastAsia="es-ES"/>
        </w:rPr>
        <w:t xml:space="preserve">Del contenido de la solicitud de información, se tiene que lo requerido atiende al acceso de documentos previamente elaborados por el Sujeto Obligado y no así, a la generación de un documento para satisfacer la petición del particular. </w:t>
      </w:r>
    </w:p>
    <w:p w14:paraId="7B3BC3AC"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3ECE98F7"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r w:rsidRPr="005475F3">
        <w:rPr>
          <w:rFonts w:ascii="Arial" w:eastAsia="Arial Unicode MS" w:hAnsi="Arial" w:cs="Arial"/>
          <w:b/>
          <w:bCs/>
          <w:sz w:val="24"/>
          <w:szCs w:val="24"/>
          <w:lang w:eastAsia="es-ES"/>
        </w:rPr>
        <w:t xml:space="preserve">VIII. Ampliación. </w:t>
      </w:r>
      <w:r w:rsidRPr="005475F3">
        <w:rPr>
          <w:rFonts w:ascii="Arial" w:eastAsia="Arial Unicode MS" w:hAnsi="Arial" w:cs="Arial"/>
          <w:sz w:val="24"/>
          <w:szCs w:val="24"/>
          <w:lang w:eastAsia="es-ES"/>
        </w:rPr>
        <w:t xml:space="preserve">Asimismo, del contraste de la solicitud de acceso a la información con el recurso de revisión que fue interpuesto en contra de la respuesta proporcionada por el sujeto obligado, esta Comisión no advierte que la persona recurrente haya ampliado su solicitud de acceso. Por tal motivo no se actualiza la hipótesis de improcedencia establecida en la fracción VIII del artículo en análisis. </w:t>
      </w:r>
    </w:p>
    <w:p w14:paraId="16CF22C2" w14:textId="77777777" w:rsidR="00FA5019" w:rsidRPr="005475F3" w:rsidRDefault="00FA5019" w:rsidP="00373E6F">
      <w:pPr>
        <w:spacing w:after="0" w:line="360" w:lineRule="auto"/>
        <w:ind w:firstLine="708"/>
        <w:jc w:val="both"/>
        <w:rPr>
          <w:rFonts w:ascii="Arial" w:eastAsia="Arial Unicode MS" w:hAnsi="Arial" w:cs="Arial"/>
          <w:sz w:val="24"/>
          <w:szCs w:val="24"/>
          <w:lang w:eastAsia="es-ES"/>
        </w:rPr>
      </w:pPr>
    </w:p>
    <w:p w14:paraId="23753CF4" w14:textId="77777777" w:rsidR="00FA5019" w:rsidRPr="005475F3" w:rsidRDefault="00FA5019" w:rsidP="00373E6F">
      <w:pPr>
        <w:spacing w:after="0" w:line="360" w:lineRule="auto"/>
        <w:ind w:firstLine="709"/>
        <w:jc w:val="both"/>
        <w:rPr>
          <w:rFonts w:ascii="Arial" w:eastAsia="Arial Unicode MS" w:hAnsi="Arial" w:cs="Arial"/>
          <w:sz w:val="24"/>
          <w:szCs w:val="24"/>
          <w:lang w:eastAsia="es-ES"/>
        </w:rPr>
      </w:pPr>
      <w:bookmarkStart w:id="2" w:name="_Toc209010496"/>
      <w:r w:rsidRPr="005475F3">
        <w:rPr>
          <w:rFonts w:ascii="Arial" w:eastAsia="Arial Unicode MS" w:hAnsi="Arial" w:cs="Arial"/>
          <w:b/>
          <w:sz w:val="24"/>
          <w:szCs w:val="24"/>
          <w:lang w:eastAsia="es-ES"/>
        </w:rPr>
        <w:t>CUARTO. Sobreseimiento.</w:t>
      </w:r>
      <w:bookmarkEnd w:id="2"/>
      <w:r w:rsidRPr="005475F3">
        <w:rPr>
          <w:rFonts w:ascii="Arial" w:eastAsia="Arial Unicode MS" w:hAnsi="Arial" w:cs="Arial"/>
          <w:b/>
          <w:sz w:val="24"/>
          <w:szCs w:val="24"/>
          <w:lang w:eastAsia="es-ES"/>
        </w:rPr>
        <w:t xml:space="preserve"> </w:t>
      </w:r>
      <w:r w:rsidRPr="005475F3">
        <w:rPr>
          <w:rFonts w:ascii="Arial" w:eastAsia="Arial Unicode MS" w:hAnsi="Arial" w:cs="Arial"/>
          <w:bCs/>
          <w:sz w:val="24"/>
          <w:szCs w:val="24"/>
          <w:lang w:eastAsia="es-ES"/>
        </w:rPr>
        <w:t>La figura jurídica del sobreseimiento</w:t>
      </w:r>
      <w:r w:rsidRPr="005475F3">
        <w:rPr>
          <w:rStyle w:val="FootnoteReference"/>
          <w:rFonts w:ascii="Arial" w:eastAsia="Arial Unicode MS" w:hAnsi="Arial" w:cs="Arial"/>
          <w:bCs/>
          <w:sz w:val="24"/>
          <w:szCs w:val="24"/>
          <w:lang w:eastAsia="es-ES"/>
        </w:rPr>
        <w:footnoteReference w:id="2"/>
      </w:r>
      <w:r w:rsidRPr="005475F3">
        <w:rPr>
          <w:rFonts w:ascii="Arial" w:eastAsia="Arial Unicode MS" w:hAnsi="Arial" w:cs="Arial"/>
          <w:bCs/>
          <w:sz w:val="24"/>
          <w:szCs w:val="24"/>
          <w:lang w:eastAsia="es-ES"/>
        </w:rPr>
        <w:t xml:space="preserve"> es la determinación adoptada por parte de este Organismo Autónomo de carácter definitivo porque pone fin al procedimiento sin resolver las cuestiones de fondo, es decir, porque se haya actualizado alguno de los supuestos que establece el artículo 180 de la Ley de Transparencia y Acceso a la Información Pública del Estado, por lo que al ser una cuestión de </w:t>
      </w:r>
      <w:r w:rsidRPr="005475F3">
        <w:rPr>
          <w:rFonts w:ascii="Arial" w:eastAsia="Arial Unicode MS" w:hAnsi="Arial" w:cs="Arial"/>
          <w:sz w:val="24"/>
          <w:szCs w:val="24"/>
          <w:lang w:eastAsia="es-ES"/>
        </w:rPr>
        <w:t xml:space="preserve">previo y especial pronunciamiento, esta Comisión analiza si se actualiza alguna </w:t>
      </w:r>
      <w:r w:rsidRPr="005475F3">
        <w:rPr>
          <w:rFonts w:ascii="Arial" w:eastAsia="Arial Unicode MS" w:hAnsi="Arial" w:cs="Arial"/>
          <w:bCs/>
          <w:sz w:val="24"/>
          <w:szCs w:val="24"/>
          <w:lang w:eastAsia="es-ES"/>
        </w:rPr>
        <w:t xml:space="preserve">causal </w:t>
      </w:r>
      <w:r w:rsidRPr="005475F3">
        <w:rPr>
          <w:rFonts w:ascii="Arial" w:eastAsia="Arial Unicode MS" w:hAnsi="Arial" w:cs="Arial"/>
          <w:sz w:val="24"/>
          <w:szCs w:val="24"/>
          <w:lang w:eastAsia="es-ES"/>
        </w:rPr>
        <w:t xml:space="preserve">de </w:t>
      </w:r>
      <w:r w:rsidRPr="005475F3">
        <w:rPr>
          <w:rFonts w:ascii="Arial" w:eastAsia="Arial Unicode MS" w:hAnsi="Arial" w:cs="Arial"/>
          <w:bCs/>
          <w:sz w:val="24"/>
          <w:szCs w:val="24"/>
          <w:lang w:eastAsia="es-ES"/>
        </w:rPr>
        <w:t>sobreseimiento</w:t>
      </w:r>
      <w:r w:rsidRPr="005475F3">
        <w:rPr>
          <w:rFonts w:ascii="Arial" w:eastAsia="Arial Unicode MS" w:hAnsi="Arial" w:cs="Arial"/>
          <w:sz w:val="24"/>
          <w:szCs w:val="24"/>
          <w:lang w:eastAsia="es-ES"/>
        </w:rPr>
        <w:t xml:space="preserve">. </w:t>
      </w:r>
    </w:p>
    <w:p w14:paraId="63B01343" w14:textId="77777777" w:rsidR="00FA5019" w:rsidRPr="005475F3" w:rsidRDefault="00FA5019" w:rsidP="00373E6F">
      <w:pPr>
        <w:spacing w:after="0" w:line="360" w:lineRule="auto"/>
        <w:ind w:firstLine="709"/>
        <w:jc w:val="both"/>
        <w:rPr>
          <w:rFonts w:ascii="Arial" w:eastAsia="Arial Unicode MS" w:hAnsi="Arial" w:cs="Arial"/>
          <w:b/>
          <w:sz w:val="24"/>
          <w:szCs w:val="24"/>
          <w:lang w:eastAsia="es-ES"/>
        </w:rPr>
      </w:pPr>
    </w:p>
    <w:p w14:paraId="74DFDB23" w14:textId="77777777" w:rsidR="00FA5019" w:rsidRPr="005475F3" w:rsidRDefault="00FA5019" w:rsidP="00FA5019">
      <w:pPr>
        <w:spacing w:after="0" w:line="240" w:lineRule="auto"/>
        <w:ind w:left="1134" w:right="1183"/>
        <w:jc w:val="both"/>
        <w:rPr>
          <w:rFonts w:ascii="Arial" w:eastAsia="Arial Unicode MS" w:hAnsi="Arial" w:cs="Arial"/>
          <w:bCs/>
          <w:lang w:eastAsia="es-ES"/>
        </w:rPr>
      </w:pPr>
      <w:r w:rsidRPr="005475F3">
        <w:rPr>
          <w:rFonts w:ascii="Arial" w:eastAsia="Arial Unicode MS" w:hAnsi="Arial" w:cs="Arial"/>
          <w:b/>
          <w:bCs/>
          <w:lang w:eastAsia="es-ES"/>
        </w:rPr>
        <w:t>ARTÍCULO 180.</w:t>
      </w:r>
      <w:r w:rsidRPr="005475F3">
        <w:rPr>
          <w:rFonts w:ascii="Arial" w:eastAsia="Arial Unicode MS" w:hAnsi="Arial" w:cs="Arial"/>
          <w:bCs/>
          <w:lang w:eastAsia="es-ES"/>
        </w:rPr>
        <w:t xml:space="preserve"> El recurso será sobreseído, en todo o en parte, cuando, una vez admitido, se actualicen alguno de los siguientes supuestos: </w:t>
      </w:r>
    </w:p>
    <w:p w14:paraId="4AE6B9D6" w14:textId="77777777" w:rsidR="00FA5019" w:rsidRPr="005475F3" w:rsidRDefault="00FA5019" w:rsidP="00586028">
      <w:pPr>
        <w:pStyle w:val="ListParagraph"/>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se desista; </w:t>
      </w:r>
    </w:p>
    <w:p w14:paraId="107424C8" w14:textId="77777777" w:rsidR="00FA5019" w:rsidRPr="005475F3" w:rsidRDefault="00FA5019" w:rsidP="00586028">
      <w:pPr>
        <w:pStyle w:val="ListParagraph"/>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recurrente fallezca; </w:t>
      </w:r>
    </w:p>
    <w:p w14:paraId="52B3BE8F" w14:textId="77777777" w:rsidR="00FA5019" w:rsidRPr="005475F3" w:rsidRDefault="00FA5019" w:rsidP="00586028">
      <w:pPr>
        <w:pStyle w:val="ListParagraph"/>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 xml:space="preserve">El sujeto obligado responsable del acto lo modifique o revoque de tal manera que el recurso de revisión quede sin materia, o </w:t>
      </w:r>
    </w:p>
    <w:p w14:paraId="54A24CBD" w14:textId="77777777" w:rsidR="00FA5019" w:rsidRPr="005475F3" w:rsidRDefault="00FA5019" w:rsidP="00586028">
      <w:pPr>
        <w:pStyle w:val="ListParagraph"/>
        <w:numPr>
          <w:ilvl w:val="0"/>
          <w:numId w:val="2"/>
        </w:numPr>
        <w:spacing w:after="0" w:line="240" w:lineRule="auto"/>
        <w:ind w:left="1418" w:right="1183" w:hanging="284"/>
        <w:jc w:val="both"/>
        <w:rPr>
          <w:rFonts w:ascii="Arial" w:eastAsia="Arial Unicode MS" w:hAnsi="Arial" w:cs="Arial"/>
          <w:bCs/>
          <w:lang w:eastAsia="es-ES"/>
        </w:rPr>
      </w:pPr>
      <w:r w:rsidRPr="005475F3">
        <w:rPr>
          <w:rFonts w:ascii="Arial" w:eastAsia="Arial Unicode MS" w:hAnsi="Arial" w:cs="Arial"/>
          <w:bCs/>
          <w:lang w:eastAsia="es-ES"/>
        </w:rPr>
        <w:t>Admitido el recurso de revisión, aparezca alguna causal de improcedencia en los términos del presente Capítulo.</w:t>
      </w:r>
    </w:p>
    <w:p w14:paraId="7166D1DD" w14:textId="77777777" w:rsidR="00FA5019" w:rsidRPr="005475F3" w:rsidRDefault="00FA5019" w:rsidP="00FA5019">
      <w:pPr>
        <w:spacing w:after="0" w:line="360" w:lineRule="auto"/>
        <w:ind w:firstLine="709"/>
        <w:jc w:val="both"/>
        <w:rPr>
          <w:rFonts w:ascii="Arial" w:eastAsia="Arial Unicode MS" w:hAnsi="Arial" w:cs="Arial"/>
          <w:b/>
          <w:sz w:val="24"/>
          <w:szCs w:val="24"/>
          <w:lang w:eastAsia="es-ES"/>
        </w:rPr>
      </w:pPr>
    </w:p>
    <w:p w14:paraId="108DF802"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Cs/>
          <w:sz w:val="24"/>
          <w:lang w:val="es-ES_tradnl"/>
        </w:rPr>
        <w:lastRenderedPageBreak/>
        <w:t>B</w:t>
      </w:r>
      <w:r w:rsidRPr="005475F3">
        <w:rPr>
          <w:rFonts w:ascii="Arial" w:eastAsia="Arial Unicode MS" w:hAnsi="Arial" w:cs="Arial"/>
          <w:bCs/>
          <w:sz w:val="24"/>
          <w:szCs w:val="24"/>
          <w:lang w:eastAsia="es-ES"/>
        </w:rPr>
        <w:t>ajo las condiciones anotadas, de las constancias que integran el expediente citado al rubro, no se actualizan hipótesis a través de las cuales a este Órgano Garante se le permita arribar a la convicción de que se configure un supuesto de sobreseimiento.</w:t>
      </w:r>
    </w:p>
    <w:p w14:paraId="31702DC8" w14:textId="77777777" w:rsidR="00FA5019" w:rsidRPr="005475F3" w:rsidRDefault="00FA5019" w:rsidP="00FA5019">
      <w:pPr>
        <w:spacing w:after="0" w:line="360" w:lineRule="auto"/>
        <w:ind w:firstLine="708"/>
        <w:jc w:val="both"/>
        <w:rPr>
          <w:rFonts w:ascii="Arial" w:eastAsia="Arial Unicode MS" w:hAnsi="Arial" w:cs="Arial"/>
          <w:sz w:val="24"/>
          <w:szCs w:val="24"/>
          <w:lang w:eastAsia="es-ES"/>
        </w:rPr>
      </w:pPr>
    </w:p>
    <w:p w14:paraId="37992F51"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r w:rsidRPr="005475F3">
        <w:rPr>
          <w:rFonts w:ascii="Arial" w:eastAsia="Arial Unicode MS" w:hAnsi="Arial" w:cs="Arial"/>
          <w:b/>
          <w:bCs/>
          <w:sz w:val="24"/>
          <w:szCs w:val="24"/>
          <w:lang w:eastAsia="es-ES"/>
        </w:rPr>
        <w:t xml:space="preserve">QUINTO. Valoración de las pruebas. </w:t>
      </w:r>
      <w:r w:rsidRPr="005475F3">
        <w:rPr>
          <w:rFonts w:ascii="Arial" w:eastAsia="Arial Unicode MS" w:hAnsi="Arial" w:cs="Arial"/>
          <w:bCs/>
          <w:sz w:val="24"/>
          <w:szCs w:val="24"/>
          <w:lang w:eastAsia="es-ES"/>
        </w:rPr>
        <w:t>De las documentales que obran en el expediente materia de la presente resolución, debe precisarse que la instrumental de actuaciones, constituye todo lo que obra en el expediente y es obligatorio para quien resuelve tomarlo en cuenta para dictar la presente determinación, ello con la finalidad de cumplir con los principios de congruencia y exhaustividad en las determinaciones materialmente jurisdiccionales, con lo cual se logra dar respuesta a todos los planteamientos formulados por las partes.</w:t>
      </w:r>
    </w:p>
    <w:p w14:paraId="0AB91237" w14:textId="77777777" w:rsidR="00FA5019" w:rsidRPr="005475F3" w:rsidRDefault="00FA5019" w:rsidP="00FA5019">
      <w:pPr>
        <w:spacing w:after="0" w:line="360" w:lineRule="auto"/>
        <w:ind w:firstLine="708"/>
        <w:jc w:val="both"/>
        <w:rPr>
          <w:rFonts w:ascii="Arial" w:eastAsia="Arial Unicode MS" w:hAnsi="Arial" w:cs="Arial"/>
          <w:bCs/>
          <w:sz w:val="24"/>
          <w:szCs w:val="24"/>
          <w:lang w:eastAsia="es-ES"/>
        </w:rPr>
      </w:pPr>
    </w:p>
    <w:p w14:paraId="78FC8F02" w14:textId="77777777" w:rsidR="00FA5019" w:rsidRPr="005475F3" w:rsidRDefault="00FA5019" w:rsidP="00FA5019">
      <w:pPr>
        <w:spacing w:after="0" w:line="360" w:lineRule="auto"/>
        <w:ind w:firstLine="709"/>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t>En razón de lo anterior, se tiene que de las documentales que obran en el presente sumario, se desahogan por su propia y especial naturaleza y a las cuales se les concede valor probatorio de conformidad con lo establecido en los</w:t>
      </w:r>
    </w:p>
    <w:p w14:paraId="0C07476D" w14:textId="77777777" w:rsidR="00FA5019" w:rsidRPr="005475F3" w:rsidRDefault="00FA5019" w:rsidP="00FA5019">
      <w:pPr>
        <w:spacing w:after="0" w:line="360" w:lineRule="auto"/>
        <w:jc w:val="both"/>
        <w:rPr>
          <w:rFonts w:ascii="Arial" w:eastAsia="Arial Unicode MS" w:hAnsi="Arial" w:cs="Arial"/>
          <w:bCs/>
          <w:sz w:val="24"/>
          <w:szCs w:val="24"/>
          <w:lang w:eastAsia="es-ES"/>
        </w:rPr>
      </w:pPr>
      <w:r w:rsidRPr="005475F3">
        <w:rPr>
          <w:rFonts w:ascii="Arial" w:eastAsia="Arial Unicode MS" w:hAnsi="Arial" w:cs="Arial"/>
          <w:bCs/>
          <w:sz w:val="24"/>
          <w:szCs w:val="24"/>
          <w:lang w:eastAsia="es-ES"/>
        </w:rPr>
        <w:t>artículos 72 fracción I, 74, 75 y 76 del Código Procesal Administrativo del Estado aplicado de manera supletoria a la Ley de Transparencia de conformidad con el artículo 1º de esta.</w:t>
      </w:r>
    </w:p>
    <w:p w14:paraId="0E4BD247" w14:textId="77777777" w:rsidR="00FA5019" w:rsidRPr="005475F3" w:rsidRDefault="00FA5019" w:rsidP="00FA5019">
      <w:pPr>
        <w:spacing w:after="0" w:line="360" w:lineRule="auto"/>
        <w:jc w:val="both"/>
        <w:rPr>
          <w:rFonts w:ascii="Arial" w:eastAsia="Arial Unicode MS" w:hAnsi="Arial" w:cs="Arial"/>
          <w:bCs/>
          <w:sz w:val="24"/>
          <w:szCs w:val="24"/>
          <w:lang w:eastAsia="es-ES"/>
        </w:rPr>
      </w:pPr>
    </w:p>
    <w:p w14:paraId="406483B9" w14:textId="7EB67A87" w:rsidR="0060729C" w:rsidRDefault="003C0AF6" w:rsidP="00C565B9">
      <w:pPr>
        <w:autoSpaceDE w:val="0"/>
        <w:autoSpaceDN w:val="0"/>
        <w:adjustRightInd w:val="0"/>
        <w:spacing w:after="0" w:line="360" w:lineRule="auto"/>
        <w:ind w:firstLine="708"/>
        <w:jc w:val="both"/>
        <w:rPr>
          <w:rFonts w:ascii="Arial" w:hAnsi="Arial" w:cs="Arial"/>
          <w:sz w:val="24"/>
          <w:szCs w:val="24"/>
        </w:rPr>
      </w:pPr>
      <w:r w:rsidRPr="006C3BD5">
        <w:rPr>
          <w:rFonts w:ascii="Arial" w:hAnsi="Arial" w:cs="Arial"/>
          <w:b/>
          <w:sz w:val="24"/>
          <w:szCs w:val="24"/>
        </w:rPr>
        <w:t xml:space="preserve">SEXTO. </w:t>
      </w:r>
      <w:r w:rsidR="006506E4" w:rsidRPr="006C3BD5">
        <w:rPr>
          <w:rFonts w:ascii="Arial" w:hAnsi="Arial" w:cs="Arial"/>
          <w:b/>
          <w:sz w:val="24"/>
          <w:szCs w:val="24"/>
        </w:rPr>
        <w:t xml:space="preserve">Caso concreto. </w:t>
      </w:r>
      <w:r w:rsidR="006506E4" w:rsidRPr="006C3BD5">
        <w:rPr>
          <w:rFonts w:ascii="Arial" w:hAnsi="Arial" w:cs="Arial"/>
          <w:sz w:val="24"/>
          <w:szCs w:val="24"/>
        </w:rPr>
        <w:t>De las constancias que obran en autos, se advierte que la persona recurrente requirió que se le proporcionara</w:t>
      </w:r>
      <w:r w:rsidR="004F3DBE">
        <w:rPr>
          <w:rFonts w:ascii="Arial" w:hAnsi="Arial" w:cs="Arial"/>
          <w:sz w:val="24"/>
          <w:szCs w:val="24"/>
        </w:rPr>
        <w:t xml:space="preserve"> documentación respecto de </w:t>
      </w:r>
      <w:r w:rsidR="004F3DBE" w:rsidRPr="004F3DBE">
        <w:rPr>
          <w:rFonts w:ascii="Arial" w:hAnsi="Arial" w:cs="Arial"/>
          <w:sz w:val="24"/>
          <w:szCs w:val="24"/>
        </w:rPr>
        <w:t>cualquier documento probatorio, acto administrativo o instrumento jurídico que acredite el encargo, adjudicación o contratación para la creación (3.3.1.1) y rehabilitación (3.3.1.2) de ciclovías durante dicho periodo (tales como contratos</w:t>
      </w:r>
      <w:r w:rsidR="00C565B9">
        <w:rPr>
          <w:rFonts w:ascii="Arial" w:hAnsi="Arial" w:cs="Arial"/>
          <w:sz w:val="24"/>
          <w:szCs w:val="24"/>
        </w:rPr>
        <w:t xml:space="preserve">, pedidos u órdenes de trabajo); </w:t>
      </w:r>
      <w:r w:rsidR="004F3DBE" w:rsidRPr="004F3DBE">
        <w:rPr>
          <w:rFonts w:ascii="Arial" w:hAnsi="Arial" w:cs="Arial"/>
          <w:sz w:val="24"/>
          <w:szCs w:val="24"/>
        </w:rPr>
        <w:t>conclusión física y/o el pago de los kilómetros informados (tales como actas de entrega-recepción, finiquitos, estimaciones pagadas o Comprobantes Fiscales Digitales por Internet - CFDI). -El desglose contable y presupuestal del recurso autorizado, modificado, devengado y pagado, presentado a nivel de partida específica o clave programática asignada a este objetivo o a la infraestructura ciclista durante 2025, quedando estrictamente prohibida la entrega de reportes globales o consolidados de la dependencia. Para el ejercicio fiscal 2026 en cur</w:t>
      </w:r>
      <w:r w:rsidR="00C565B9">
        <w:rPr>
          <w:rFonts w:ascii="Arial" w:hAnsi="Arial" w:cs="Arial"/>
          <w:sz w:val="24"/>
          <w:szCs w:val="24"/>
        </w:rPr>
        <w:t>so (Meta programada de 50 km); c</w:t>
      </w:r>
      <w:r w:rsidR="004F3DBE" w:rsidRPr="004F3DBE">
        <w:rPr>
          <w:rFonts w:ascii="Arial" w:hAnsi="Arial" w:cs="Arial"/>
          <w:sz w:val="24"/>
          <w:szCs w:val="24"/>
        </w:rPr>
        <w:t xml:space="preserve">opia de cualquier documento que acredite la adjudicación o contratación vigente a la fecha para estos fines. De existir procesos de contratación en curso, </w:t>
      </w:r>
      <w:r w:rsidR="004F3DBE" w:rsidRPr="004F3DBE">
        <w:rPr>
          <w:rFonts w:ascii="Arial" w:hAnsi="Arial" w:cs="Arial"/>
          <w:sz w:val="24"/>
          <w:szCs w:val="24"/>
        </w:rPr>
        <w:lastRenderedPageBreak/>
        <w:t>se solicita la documentación que informe el estatus procesal actual, número de procedimiento y fecha estimada de fallo, sin que la etapa de concurso se invoque para negar l</w:t>
      </w:r>
      <w:r w:rsidR="00C565B9">
        <w:rPr>
          <w:rFonts w:ascii="Arial" w:hAnsi="Arial" w:cs="Arial"/>
          <w:sz w:val="24"/>
          <w:szCs w:val="24"/>
        </w:rPr>
        <w:t>a existencia de dicho trámite; c</w:t>
      </w:r>
      <w:r w:rsidR="004F3DBE" w:rsidRPr="004F3DBE">
        <w:rPr>
          <w:rFonts w:ascii="Arial" w:hAnsi="Arial" w:cs="Arial"/>
          <w:sz w:val="24"/>
          <w:szCs w:val="24"/>
        </w:rPr>
        <w:t>opia de cualquier informe, registro de supervisión, bitácora o documento probatorio generado por el área ejecutora que acredite el avance físico real o el estado que guardan los tramos intervenidos a la fecha de pr</w:t>
      </w:r>
      <w:r w:rsidR="00C565B9">
        <w:rPr>
          <w:rFonts w:ascii="Arial" w:hAnsi="Arial" w:cs="Arial"/>
          <w:sz w:val="24"/>
          <w:szCs w:val="24"/>
        </w:rPr>
        <w:t>esentación de esta solicitud; e</w:t>
      </w:r>
      <w:r w:rsidR="004F3DBE" w:rsidRPr="004F3DBE">
        <w:rPr>
          <w:rFonts w:ascii="Arial" w:hAnsi="Arial" w:cs="Arial"/>
          <w:sz w:val="24"/>
          <w:szCs w:val="24"/>
        </w:rPr>
        <w:t xml:space="preserve">l registro contable del presupuesto asignado y devengado específicamente para este objetivo en el año en curso, presentado mediante un desglose por partida que impida la consolidación global con otros gastos de la dependencia. </w:t>
      </w:r>
    </w:p>
    <w:p w14:paraId="39877AE3" w14:textId="77777777" w:rsidR="00C565B9" w:rsidRDefault="00C565B9" w:rsidP="00C565B9">
      <w:pPr>
        <w:autoSpaceDE w:val="0"/>
        <w:autoSpaceDN w:val="0"/>
        <w:adjustRightInd w:val="0"/>
        <w:spacing w:after="0" w:line="360" w:lineRule="auto"/>
        <w:ind w:firstLine="708"/>
        <w:jc w:val="both"/>
        <w:rPr>
          <w:rFonts w:ascii="Arial" w:hAnsi="Arial" w:cs="Arial"/>
          <w:sz w:val="24"/>
          <w:szCs w:val="24"/>
        </w:rPr>
      </w:pPr>
    </w:p>
    <w:p w14:paraId="7BFC1F85" w14:textId="5627B33C" w:rsidR="005D58BC" w:rsidRDefault="006506E4" w:rsidP="001C7DCD">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Inconforme con la respuesta proporcionada, el recurrente interpuso recurso de revisión ante esta Comisión</w:t>
      </w:r>
      <w:r w:rsidR="0060729C">
        <w:rPr>
          <w:rFonts w:ascii="Arial" w:hAnsi="Arial" w:cs="Arial"/>
          <w:sz w:val="24"/>
          <w:szCs w:val="24"/>
        </w:rPr>
        <w:t xml:space="preserve"> y </w:t>
      </w:r>
      <w:r w:rsidR="005D58BC">
        <w:rPr>
          <w:rFonts w:ascii="Arial" w:hAnsi="Arial" w:cs="Arial"/>
          <w:sz w:val="24"/>
          <w:szCs w:val="24"/>
        </w:rPr>
        <w:t xml:space="preserve">señaló como motivo de queja, la incompetencia aducida por parte del sujeto obligado, remitiendo al IMPLAN, aún y cuando cuenta con atribuciones legales para ejecutar la obra pública. </w:t>
      </w:r>
    </w:p>
    <w:p w14:paraId="71FED93F" w14:textId="2EAF8006" w:rsidR="005D58BC" w:rsidRDefault="005D58BC" w:rsidP="001C7DCD">
      <w:pPr>
        <w:autoSpaceDE w:val="0"/>
        <w:autoSpaceDN w:val="0"/>
        <w:adjustRightInd w:val="0"/>
        <w:spacing w:after="0" w:line="360" w:lineRule="auto"/>
        <w:ind w:firstLine="708"/>
        <w:jc w:val="both"/>
        <w:rPr>
          <w:rFonts w:ascii="Arial" w:hAnsi="Arial" w:cs="Arial"/>
          <w:sz w:val="24"/>
          <w:szCs w:val="24"/>
        </w:rPr>
      </w:pPr>
    </w:p>
    <w:p w14:paraId="1DCF4112" w14:textId="5E55AF95" w:rsidR="005D58BC" w:rsidRDefault="005D58BC" w:rsidP="001C7DCD">
      <w:pPr>
        <w:autoSpaceDE w:val="0"/>
        <w:autoSpaceDN w:val="0"/>
        <w:adjustRightInd w:val="0"/>
        <w:spacing w:after="0" w:line="360" w:lineRule="auto"/>
        <w:ind w:firstLine="708"/>
        <w:jc w:val="both"/>
        <w:rPr>
          <w:rFonts w:ascii="Arial" w:hAnsi="Arial" w:cs="Arial"/>
          <w:sz w:val="24"/>
          <w:szCs w:val="24"/>
        </w:rPr>
      </w:pPr>
      <w:r>
        <w:rPr>
          <w:rFonts w:ascii="Arial" w:hAnsi="Arial" w:cs="Arial"/>
          <w:sz w:val="24"/>
          <w:szCs w:val="24"/>
        </w:rPr>
        <w:t xml:space="preserve">Atento a la inconformidad planteada, el Sujeto obligado compareció al presente procedimiento, a través del oficio UT-SI-523-2026, suscrito por el Titular de la Unidad de Transparencia del Municipio de San Luis Potosí y reiteró la validez de la competencia declarada y, además, se pusieron a disposición del inconforme las direcciones URL exactas de la Plataforma Estatal de Transparencia correspondientes a los Formatos normativos del artículo 84, fracciones XXXI, XXXIII y XXXVIII de los ejercicios fiscales 2025 y 2026, acreditando fehacientemente </w:t>
      </w:r>
      <w:r w:rsidR="00B60FFB">
        <w:rPr>
          <w:rFonts w:ascii="Arial" w:hAnsi="Arial" w:cs="Arial"/>
          <w:sz w:val="24"/>
          <w:szCs w:val="24"/>
        </w:rPr>
        <w:t xml:space="preserve">la ausencia de registros de contratos, obras públicas y devengos presupuestales para las ciclovías de mérito. Asimismo, remosteciendo la remisión al IMPLAN mediante la incorporación de sus repositorios. </w:t>
      </w:r>
    </w:p>
    <w:p w14:paraId="69D8027F" w14:textId="77777777" w:rsidR="00F83025" w:rsidRDefault="00F83025" w:rsidP="006506E4">
      <w:pPr>
        <w:pStyle w:val="Estilo"/>
        <w:spacing w:line="360" w:lineRule="auto"/>
        <w:ind w:firstLine="709"/>
        <w:rPr>
          <w:rFonts w:cs="Arial"/>
          <w:i/>
          <w:szCs w:val="24"/>
        </w:rPr>
      </w:pPr>
    </w:p>
    <w:p w14:paraId="4C2674DF" w14:textId="46455398" w:rsidR="006506E4" w:rsidRDefault="00552FC8" w:rsidP="006506E4">
      <w:pPr>
        <w:spacing w:after="0" w:line="360" w:lineRule="auto"/>
        <w:ind w:firstLine="709"/>
        <w:jc w:val="both"/>
        <w:rPr>
          <w:rFonts w:ascii="Arial" w:eastAsia="Arial Unicode MS" w:hAnsi="Arial" w:cs="Arial"/>
          <w:sz w:val="24"/>
          <w:szCs w:val="24"/>
          <w:lang w:eastAsia="es-ES"/>
        </w:rPr>
      </w:pPr>
      <w:r w:rsidRPr="00035D9B">
        <w:rPr>
          <w:rFonts w:ascii="Arial" w:eastAsia="Arial Unicode MS" w:hAnsi="Arial" w:cs="Arial"/>
          <w:b/>
          <w:bCs/>
          <w:sz w:val="24"/>
          <w:szCs w:val="24"/>
          <w:lang w:eastAsia="es-ES"/>
        </w:rPr>
        <w:t>SÉPTIMO</w:t>
      </w:r>
      <w:r w:rsidR="00CF1ACC" w:rsidRPr="00035D9B">
        <w:rPr>
          <w:rFonts w:ascii="Arial" w:eastAsia="Arial Unicode MS" w:hAnsi="Arial" w:cs="Arial"/>
          <w:b/>
          <w:bCs/>
          <w:sz w:val="24"/>
          <w:szCs w:val="24"/>
          <w:lang w:eastAsia="es-ES"/>
        </w:rPr>
        <w:t xml:space="preserve">. </w:t>
      </w:r>
      <w:r w:rsidR="00CF1ACC" w:rsidRPr="00035D9B">
        <w:rPr>
          <w:rFonts w:ascii="Arial" w:eastAsia="Arial Unicode MS" w:hAnsi="Arial" w:cs="Arial"/>
          <w:b/>
          <w:sz w:val="24"/>
          <w:szCs w:val="24"/>
          <w:lang w:eastAsia="es-ES"/>
        </w:rPr>
        <w:t>Estudio</w:t>
      </w:r>
      <w:r w:rsidR="00035D9B">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Esta Comisión procede, con fundamento en el artículo 174 fracción VII de la Ley de Transparencia y Acceso a la Información Pública del Estado, al estudio de la inconformidad planteada por el recurrente, la cual deviene</w:t>
      </w:r>
      <w:r w:rsidR="006506E4">
        <w:rPr>
          <w:rFonts w:ascii="Arial" w:eastAsia="Arial Unicode MS" w:hAnsi="Arial" w:cs="Arial"/>
          <w:sz w:val="24"/>
          <w:szCs w:val="24"/>
          <w:lang w:eastAsia="es-ES"/>
        </w:rPr>
        <w:t xml:space="preserve"> </w:t>
      </w:r>
      <w:r w:rsidR="00CE5E00">
        <w:rPr>
          <w:rFonts w:ascii="Arial" w:eastAsia="Arial Unicode MS" w:hAnsi="Arial" w:cs="Arial"/>
          <w:sz w:val="24"/>
          <w:szCs w:val="24"/>
          <w:u w:val="single"/>
          <w:lang w:eastAsia="es-ES"/>
        </w:rPr>
        <w:t>in</w:t>
      </w:r>
      <w:r w:rsidR="006506E4" w:rsidRPr="006506E4">
        <w:rPr>
          <w:rFonts w:ascii="Arial" w:eastAsia="Arial Unicode MS" w:hAnsi="Arial" w:cs="Arial"/>
          <w:sz w:val="24"/>
          <w:szCs w:val="24"/>
          <w:u w:val="single"/>
          <w:lang w:eastAsia="es-ES"/>
        </w:rPr>
        <w:t>fundada</w:t>
      </w:r>
      <w:r w:rsidR="006506E4" w:rsidRPr="006506E4">
        <w:rPr>
          <w:rFonts w:ascii="Arial" w:eastAsia="Arial Unicode MS" w:hAnsi="Arial" w:cs="Arial"/>
          <w:b/>
          <w:sz w:val="24"/>
          <w:szCs w:val="24"/>
          <w:lang w:eastAsia="es-ES"/>
        </w:rPr>
        <w:t xml:space="preserve"> </w:t>
      </w:r>
      <w:r w:rsidR="006506E4" w:rsidRPr="006506E4">
        <w:rPr>
          <w:rFonts w:ascii="Arial" w:eastAsia="Arial Unicode MS" w:hAnsi="Arial" w:cs="Arial"/>
          <w:sz w:val="24"/>
          <w:szCs w:val="24"/>
          <w:lang w:eastAsia="es-ES"/>
        </w:rPr>
        <w:t>por las razones que se patentizan a continuación.</w:t>
      </w:r>
    </w:p>
    <w:p w14:paraId="2DF58283" w14:textId="0DC148A4" w:rsidR="00934D45" w:rsidRDefault="00934D45" w:rsidP="006506E4">
      <w:pPr>
        <w:spacing w:after="0" w:line="360" w:lineRule="auto"/>
        <w:ind w:firstLine="709"/>
        <w:jc w:val="both"/>
        <w:rPr>
          <w:rFonts w:ascii="Arial" w:eastAsia="Arial Unicode MS" w:hAnsi="Arial" w:cs="Arial"/>
          <w:sz w:val="24"/>
          <w:szCs w:val="24"/>
          <w:lang w:eastAsia="es-ES"/>
        </w:rPr>
      </w:pPr>
    </w:p>
    <w:p w14:paraId="64AA66FB" w14:textId="69436DD2" w:rsidR="006506E4" w:rsidRPr="006506E4" w:rsidRDefault="00934D45" w:rsidP="006506E4">
      <w:pPr>
        <w:spacing w:after="0" w:line="360" w:lineRule="auto"/>
        <w:ind w:firstLine="709"/>
        <w:jc w:val="both"/>
        <w:rPr>
          <w:rFonts w:ascii="Arial" w:eastAsia="Arial Unicode MS" w:hAnsi="Arial" w:cs="Arial"/>
          <w:sz w:val="24"/>
          <w:szCs w:val="24"/>
          <w:lang w:eastAsia="es-ES"/>
        </w:rPr>
      </w:pPr>
      <w:r>
        <w:rPr>
          <w:rFonts w:ascii="Arial" w:eastAsia="Arial Unicode MS" w:hAnsi="Arial" w:cs="Arial"/>
          <w:sz w:val="24"/>
          <w:szCs w:val="24"/>
          <w:lang w:eastAsia="es-ES"/>
        </w:rPr>
        <w:lastRenderedPageBreak/>
        <w:t>L</w:t>
      </w:r>
      <w:r w:rsidR="006506E4" w:rsidRPr="006506E4">
        <w:rPr>
          <w:rFonts w:ascii="Arial" w:eastAsia="Arial Unicode MS" w:hAnsi="Arial" w:cs="Arial"/>
          <w:sz w:val="24"/>
          <w:szCs w:val="24"/>
          <w:lang w:eastAsia="es-ES"/>
        </w:rPr>
        <w:t>a Ley de la materia, el acceso a la información pública comprende el derecho fundamental a solicitar, investigar, difundir, buscar y recibir información</w:t>
      </w:r>
      <w:r w:rsidR="006506E4" w:rsidRPr="006506E4">
        <w:rPr>
          <w:rFonts w:ascii="Arial" w:eastAsia="Arial Unicode MS" w:hAnsi="Arial" w:cs="Arial"/>
          <w:sz w:val="24"/>
          <w:szCs w:val="24"/>
          <w:vertAlign w:val="superscript"/>
          <w:lang w:eastAsia="es-ES"/>
        </w:rPr>
        <w:footnoteReference w:id="3"/>
      </w:r>
      <w:r w:rsidR="006506E4" w:rsidRPr="006506E4">
        <w:rPr>
          <w:rFonts w:ascii="Arial" w:eastAsia="Arial Unicode MS" w:hAnsi="Arial" w:cs="Arial"/>
          <w:sz w:val="24"/>
          <w:szCs w:val="24"/>
          <w:lang w:eastAsia="es-ES"/>
        </w:rPr>
        <w:t xml:space="preserve"> que se encuentre integrada en documentos que registren el ejercicio de las facultades, funciones y competencias de los sujetos obligados, lo que conlleva a las dependencias y entidades a documentar</w:t>
      </w:r>
      <w:r w:rsidR="006506E4" w:rsidRPr="006506E4">
        <w:rPr>
          <w:rFonts w:ascii="Arial" w:eastAsia="Arial Unicode MS" w:hAnsi="Arial" w:cs="Arial"/>
          <w:sz w:val="24"/>
          <w:szCs w:val="24"/>
          <w:vertAlign w:val="superscript"/>
          <w:lang w:eastAsia="es-ES"/>
        </w:rPr>
        <w:footnoteReference w:id="4"/>
      </w:r>
      <w:r w:rsidR="006506E4" w:rsidRPr="006506E4">
        <w:rPr>
          <w:rFonts w:ascii="Arial" w:eastAsia="Arial Unicode MS" w:hAnsi="Arial" w:cs="Arial"/>
          <w:sz w:val="24"/>
          <w:szCs w:val="24"/>
          <w:lang w:eastAsia="es-ES"/>
        </w:rPr>
        <w:t xml:space="preserve"> todo lo relativo a éstas y presume su existencia.</w:t>
      </w:r>
      <w:r w:rsidR="006506E4" w:rsidRPr="006506E4">
        <w:rPr>
          <w:rFonts w:ascii="Arial" w:eastAsia="Arial Unicode MS" w:hAnsi="Arial" w:cs="Arial"/>
          <w:sz w:val="24"/>
          <w:szCs w:val="24"/>
          <w:vertAlign w:val="superscript"/>
          <w:lang w:eastAsia="es-ES"/>
        </w:rPr>
        <w:footnoteReference w:id="5"/>
      </w:r>
      <w:r w:rsidR="006506E4" w:rsidRPr="006506E4">
        <w:rPr>
          <w:rFonts w:ascii="Arial" w:eastAsia="Arial Unicode MS" w:hAnsi="Arial" w:cs="Arial"/>
          <w:sz w:val="24"/>
          <w:szCs w:val="24"/>
          <w:lang w:eastAsia="es-ES"/>
        </w:rPr>
        <w:t xml:space="preserve"> </w:t>
      </w:r>
    </w:p>
    <w:p w14:paraId="783D9EF2" w14:textId="77777777" w:rsidR="006506E4" w:rsidRPr="006506E4" w:rsidRDefault="006506E4" w:rsidP="006506E4">
      <w:pPr>
        <w:spacing w:after="0" w:line="360" w:lineRule="auto"/>
        <w:ind w:firstLine="709"/>
        <w:jc w:val="both"/>
        <w:rPr>
          <w:rFonts w:ascii="Arial" w:eastAsia="Arial Unicode MS" w:hAnsi="Arial" w:cs="Arial"/>
          <w:sz w:val="24"/>
          <w:szCs w:val="24"/>
          <w:lang w:eastAsia="es-ES"/>
        </w:rPr>
      </w:pPr>
    </w:p>
    <w:p w14:paraId="1469A116" w14:textId="77777777" w:rsidR="00914CC1" w:rsidRPr="00914CC1" w:rsidRDefault="00914CC1" w:rsidP="00914CC1">
      <w:pPr>
        <w:spacing w:after="0" w:line="360" w:lineRule="auto"/>
        <w:ind w:firstLine="709"/>
        <w:jc w:val="both"/>
        <w:rPr>
          <w:rFonts w:ascii="Arial" w:eastAsia="Arial Unicode MS" w:hAnsi="Arial" w:cs="Arial"/>
          <w:sz w:val="24"/>
          <w:szCs w:val="24"/>
          <w:lang w:val="es-ES" w:eastAsia="es-ES"/>
        </w:rPr>
      </w:pPr>
      <w:r w:rsidRPr="00914CC1">
        <w:rPr>
          <w:rFonts w:ascii="Arial" w:eastAsia="Arial Unicode MS" w:hAnsi="Arial" w:cs="Arial"/>
          <w:sz w:val="24"/>
          <w:szCs w:val="24"/>
          <w:lang w:val="es-ES" w:eastAsia="es-ES"/>
        </w:rPr>
        <w:t>Es por lo anterior que, se presume que la información debe de existir si se refiere a las facultades, competencias y funciones que los ordenamientos jurídicos aplicables otorgan a los Sujetos Obligados, ya que en el caso contrario de que estas no se hayan ejercido, la autoridad deberá fundar y motivar las causas que generen su inexistencia</w:t>
      </w:r>
      <w:r w:rsidRPr="00914CC1">
        <w:rPr>
          <w:rFonts w:ascii="Arial" w:eastAsia="Arial Unicode MS" w:hAnsi="Arial" w:cs="Arial"/>
          <w:sz w:val="24"/>
          <w:szCs w:val="24"/>
          <w:vertAlign w:val="superscript"/>
          <w:lang w:val="es-ES" w:eastAsia="es-ES"/>
        </w:rPr>
        <w:footnoteReference w:id="6"/>
      </w:r>
      <w:r w:rsidRPr="00914CC1">
        <w:rPr>
          <w:rFonts w:ascii="Arial" w:eastAsia="Arial Unicode MS" w:hAnsi="Arial" w:cs="Arial"/>
          <w:sz w:val="24"/>
          <w:szCs w:val="24"/>
          <w:lang w:val="es-ES" w:eastAsia="es-ES"/>
        </w:rPr>
        <w:t>.</w:t>
      </w:r>
    </w:p>
    <w:p w14:paraId="335583AA" w14:textId="77777777" w:rsidR="00914CC1" w:rsidRPr="00914CC1" w:rsidRDefault="00914CC1" w:rsidP="00914CC1">
      <w:pPr>
        <w:spacing w:after="0" w:line="360" w:lineRule="auto"/>
        <w:ind w:firstLine="709"/>
        <w:jc w:val="both"/>
        <w:rPr>
          <w:rFonts w:ascii="Arial" w:eastAsia="Arial Unicode MS" w:hAnsi="Arial" w:cs="Arial"/>
          <w:sz w:val="24"/>
          <w:szCs w:val="24"/>
          <w:lang w:val="es-ES" w:eastAsia="es-ES"/>
        </w:rPr>
      </w:pPr>
    </w:p>
    <w:p w14:paraId="72A8CCD9" w14:textId="77777777" w:rsidR="00914CC1" w:rsidRPr="00914CC1" w:rsidRDefault="00914CC1" w:rsidP="00914CC1">
      <w:pPr>
        <w:spacing w:after="0" w:line="360" w:lineRule="auto"/>
        <w:ind w:firstLine="709"/>
        <w:jc w:val="both"/>
        <w:rPr>
          <w:rFonts w:ascii="Arial" w:eastAsia="Arial Unicode MS" w:hAnsi="Arial" w:cs="Arial"/>
          <w:bCs/>
          <w:sz w:val="24"/>
          <w:szCs w:val="24"/>
          <w:lang w:val="es-ES" w:eastAsia="es-ES"/>
        </w:rPr>
      </w:pPr>
      <w:r w:rsidRPr="00914CC1">
        <w:rPr>
          <w:rFonts w:ascii="Arial" w:eastAsia="Arial Unicode MS" w:hAnsi="Arial" w:cs="Arial"/>
          <w:sz w:val="24"/>
          <w:szCs w:val="24"/>
          <w:lang w:val="es-ES" w:eastAsia="es-ES"/>
        </w:rPr>
        <w:t xml:space="preserve">Así, al no contarse con la información se deberá de analizar el caso en concreto y se tomarán las medidas necesarias para localizar la información; posteriormente se deberá expedir una resolución que confirme la inexistencia de la información solicitada y ordenar, siempre que sea materialmente posible, se genere o reponga la información, como lo es en el caso concreto, </w:t>
      </w:r>
      <w:r w:rsidRPr="00914CC1">
        <w:rPr>
          <w:rFonts w:ascii="Arial" w:eastAsia="Arial Unicode MS" w:hAnsi="Arial" w:cs="Arial"/>
          <w:bCs/>
          <w:sz w:val="24"/>
          <w:szCs w:val="24"/>
          <w:lang w:val="es-ES" w:eastAsia="es-ES"/>
        </w:rPr>
        <w:t>ésta debe de existir en la medida que deriva del ejercicio de sus facultades, competencias o funciones,</w:t>
      </w:r>
      <w:r w:rsidRPr="00914CC1">
        <w:rPr>
          <w:rFonts w:ascii="Arial" w:eastAsia="Arial Unicode MS" w:hAnsi="Arial" w:cs="Arial"/>
          <w:b/>
          <w:bCs/>
          <w:sz w:val="24"/>
          <w:szCs w:val="24"/>
          <w:lang w:val="es-ES" w:eastAsia="es-ES"/>
        </w:rPr>
        <w:t xml:space="preserve"> </w:t>
      </w:r>
      <w:r w:rsidRPr="00914CC1">
        <w:rPr>
          <w:rFonts w:ascii="Arial" w:eastAsia="Arial Unicode MS" w:hAnsi="Arial" w:cs="Arial"/>
          <w:sz w:val="24"/>
          <w:szCs w:val="24"/>
          <w:lang w:val="es-ES" w:eastAsia="es-ES"/>
        </w:rPr>
        <w:t xml:space="preserve">previa acreditación de la imposibilidad de su generación, se deberá </w:t>
      </w:r>
      <w:r w:rsidRPr="00914CC1">
        <w:rPr>
          <w:rFonts w:ascii="Arial" w:eastAsia="Arial Unicode MS" w:hAnsi="Arial" w:cs="Arial"/>
          <w:bCs/>
          <w:sz w:val="24"/>
          <w:szCs w:val="24"/>
          <w:lang w:val="es-ES" w:eastAsia="es-ES"/>
        </w:rPr>
        <w:t>exponer de forma fundada y motivada las razones por las cuales en el caso concreto no se ejercieron dichas facultades, competencias o funciones y se deberá notificar al Órgano de Control o su equivalente, para efecto de que se inicie el procedimiento de responsabilidad administrativa correspondiente</w:t>
      </w:r>
      <w:r w:rsidRPr="00914CC1">
        <w:rPr>
          <w:rFonts w:ascii="Arial" w:eastAsia="Arial Unicode MS" w:hAnsi="Arial" w:cs="Arial"/>
          <w:bCs/>
          <w:sz w:val="24"/>
          <w:szCs w:val="24"/>
          <w:vertAlign w:val="superscript"/>
          <w:lang w:val="es-ES" w:eastAsia="es-ES"/>
        </w:rPr>
        <w:footnoteReference w:id="7"/>
      </w:r>
      <w:r w:rsidRPr="00914CC1">
        <w:rPr>
          <w:rFonts w:ascii="Arial" w:eastAsia="Arial Unicode MS" w:hAnsi="Arial" w:cs="Arial"/>
          <w:bCs/>
          <w:sz w:val="24"/>
          <w:szCs w:val="24"/>
          <w:lang w:val="es-ES" w:eastAsia="es-ES"/>
        </w:rPr>
        <w:t>.</w:t>
      </w:r>
    </w:p>
    <w:p w14:paraId="50C79498" w14:textId="77777777" w:rsidR="00914CC1" w:rsidRPr="00914CC1" w:rsidRDefault="00914CC1" w:rsidP="00914CC1">
      <w:pPr>
        <w:spacing w:after="0" w:line="360" w:lineRule="auto"/>
        <w:ind w:firstLine="709"/>
        <w:jc w:val="both"/>
        <w:rPr>
          <w:rFonts w:ascii="Arial" w:eastAsia="Arial Unicode MS" w:hAnsi="Arial" w:cs="Arial"/>
          <w:bCs/>
          <w:sz w:val="24"/>
          <w:szCs w:val="24"/>
          <w:lang w:val="es-ES" w:eastAsia="es-ES"/>
        </w:rPr>
      </w:pPr>
    </w:p>
    <w:p w14:paraId="139C7D7D" w14:textId="5E9CF144" w:rsidR="00914CC1" w:rsidRPr="00914CC1" w:rsidRDefault="00914CC1" w:rsidP="00914CC1">
      <w:pPr>
        <w:spacing w:after="0" w:line="360" w:lineRule="auto"/>
        <w:ind w:firstLine="709"/>
        <w:jc w:val="both"/>
        <w:rPr>
          <w:rFonts w:ascii="Arial" w:eastAsia="Arial Unicode MS" w:hAnsi="Arial" w:cs="Arial"/>
          <w:sz w:val="24"/>
          <w:szCs w:val="24"/>
          <w:lang w:eastAsia="es-ES"/>
        </w:rPr>
      </w:pPr>
      <w:r w:rsidRPr="00914CC1">
        <w:rPr>
          <w:rFonts w:ascii="Arial" w:eastAsia="Arial Unicode MS" w:hAnsi="Arial" w:cs="Arial"/>
          <w:sz w:val="24"/>
          <w:szCs w:val="24"/>
          <w:lang w:eastAsia="es-ES"/>
        </w:rPr>
        <w:lastRenderedPageBreak/>
        <w:t>A este respecto, es de señalar que la inexistencia implica necesariamente que la información no se encuentra en los archivos de la autoridad –</w:t>
      </w:r>
      <w:r w:rsidRPr="00914CC1">
        <w:rPr>
          <w:rFonts w:ascii="Arial" w:eastAsia="Arial Unicode MS" w:hAnsi="Arial" w:cs="Arial"/>
          <w:i/>
          <w:sz w:val="24"/>
          <w:szCs w:val="24"/>
          <w:lang w:eastAsia="es-ES"/>
        </w:rPr>
        <w:t>es decir, se trata de una cuestión de hecho-,</w:t>
      </w:r>
      <w:r w:rsidRPr="00914CC1">
        <w:rPr>
          <w:rFonts w:ascii="Arial" w:eastAsia="Arial Unicode MS" w:hAnsi="Arial" w:cs="Arial"/>
          <w:sz w:val="24"/>
          <w:szCs w:val="24"/>
          <w:lang w:eastAsia="es-ES"/>
        </w:rPr>
        <w:t xml:space="preserve"> no obstante que la dependencia o entidad </w:t>
      </w:r>
      <w:r w:rsidRPr="00914CC1">
        <w:rPr>
          <w:rFonts w:ascii="Arial" w:eastAsia="Arial Unicode MS" w:hAnsi="Arial" w:cs="Arial"/>
          <w:sz w:val="24"/>
          <w:szCs w:val="24"/>
          <w:u w:val="single"/>
          <w:lang w:eastAsia="es-ES"/>
        </w:rPr>
        <w:t>cuente con facultades para poseer dicha información,</w:t>
      </w:r>
      <w:r w:rsidRPr="00914CC1">
        <w:rPr>
          <w:rFonts w:ascii="Arial" w:eastAsia="Arial Unicode MS" w:hAnsi="Arial" w:cs="Arial"/>
          <w:sz w:val="24"/>
          <w:szCs w:val="24"/>
          <w:lang w:eastAsia="es-ES"/>
        </w:rPr>
        <w:t xml:space="preserve"> por lo que se precisa que la inexistencia es un concepto que se atribuye a la información solicitada.’</w:t>
      </w:r>
    </w:p>
    <w:p w14:paraId="7586D7F5" w14:textId="77777777" w:rsidR="00914CC1" w:rsidRPr="00914CC1" w:rsidRDefault="00914CC1" w:rsidP="00914CC1">
      <w:pPr>
        <w:spacing w:after="0" w:line="360" w:lineRule="auto"/>
        <w:ind w:firstLine="709"/>
        <w:jc w:val="both"/>
        <w:rPr>
          <w:rFonts w:ascii="Arial" w:eastAsia="Arial Unicode MS" w:hAnsi="Arial" w:cs="Arial"/>
          <w:sz w:val="24"/>
          <w:szCs w:val="24"/>
          <w:lang w:eastAsia="es-ES"/>
        </w:rPr>
      </w:pPr>
    </w:p>
    <w:p w14:paraId="75FC98A7" w14:textId="20A9EBB7" w:rsidR="007D759F" w:rsidRDefault="00914CC1" w:rsidP="007D759F">
      <w:pPr>
        <w:spacing w:after="0" w:line="360" w:lineRule="auto"/>
        <w:ind w:firstLine="709"/>
        <w:jc w:val="both"/>
        <w:rPr>
          <w:rFonts w:ascii="Arial" w:eastAsia="Arial Unicode MS" w:hAnsi="Arial" w:cs="Arial"/>
          <w:sz w:val="24"/>
          <w:szCs w:val="24"/>
          <w:lang w:eastAsia="es-ES"/>
        </w:rPr>
      </w:pPr>
      <w:r w:rsidRPr="00914CC1">
        <w:rPr>
          <w:rFonts w:ascii="Arial" w:eastAsia="Arial Unicode MS" w:hAnsi="Arial" w:cs="Arial"/>
          <w:sz w:val="24"/>
          <w:szCs w:val="24"/>
          <w:lang w:eastAsia="es-ES"/>
        </w:rPr>
        <w:t>Para pronunciarse sobre la inexistencia, es de recordar que el derecho de acceso a la información encuentra cimiento a partir de lo dispuesto en el artículo 6º, apartado A, de la Constitución Política de los Estados Unidos Mexicanos, cuyo contenido deja claro que, en principio, todo acto de autoridad (todo acto de gobierno) es de interés general y, por ende, es susceptible de ser conocido por todos.</w:t>
      </w:r>
    </w:p>
    <w:p w14:paraId="31C48E18" w14:textId="77777777" w:rsidR="007D759F" w:rsidRDefault="007D759F" w:rsidP="007D759F">
      <w:pPr>
        <w:spacing w:after="0" w:line="360" w:lineRule="auto"/>
        <w:ind w:firstLine="709"/>
        <w:jc w:val="both"/>
        <w:rPr>
          <w:rFonts w:ascii="Arial" w:eastAsia="Arial Unicode MS" w:hAnsi="Arial" w:cs="Arial"/>
          <w:sz w:val="24"/>
          <w:szCs w:val="24"/>
          <w:lang w:eastAsia="es-ES"/>
        </w:rPr>
      </w:pPr>
    </w:p>
    <w:p w14:paraId="2DBA0748" w14:textId="4AE7E145" w:rsidR="00297AFD" w:rsidRDefault="001538C2" w:rsidP="007D759F">
      <w:pPr>
        <w:spacing w:after="0" w:line="360" w:lineRule="auto"/>
        <w:ind w:firstLine="709"/>
        <w:jc w:val="both"/>
        <w:rPr>
          <w:rFonts w:ascii="Arial" w:eastAsia="Arial Unicode MS" w:hAnsi="Arial" w:cs="Arial"/>
          <w:sz w:val="24"/>
          <w:szCs w:val="24"/>
          <w:lang w:val="es-ES" w:eastAsia="es-ES"/>
        </w:rPr>
      </w:pPr>
      <w:r w:rsidRPr="001538C2">
        <w:rPr>
          <w:rFonts w:ascii="Arial" w:eastAsia="Arial Unicode MS" w:hAnsi="Arial" w:cs="Arial"/>
          <w:sz w:val="24"/>
          <w:szCs w:val="24"/>
          <w:lang w:val="es-ES" w:eastAsia="es-ES"/>
        </w:rPr>
        <w:t xml:space="preserve">Atendiendo la solicitud de información folio </w:t>
      </w:r>
      <w:r w:rsidR="009905E8">
        <w:rPr>
          <w:rFonts w:ascii="Arial" w:eastAsia="Arial Unicode MS" w:hAnsi="Arial" w:cs="Arial"/>
          <w:sz w:val="24"/>
          <w:szCs w:val="24"/>
          <w:lang w:val="es-ES" w:eastAsia="es-ES"/>
        </w:rPr>
        <w:t>240474426000534</w:t>
      </w:r>
      <w:r w:rsidRPr="001538C2">
        <w:rPr>
          <w:rFonts w:ascii="Arial" w:eastAsia="Arial Unicode MS" w:hAnsi="Arial" w:cs="Arial"/>
          <w:sz w:val="24"/>
          <w:szCs w:val="24"/>
          <w:lang w:val="es-ES" w:eastAsia="es-ES"/>
        </w:rPr>
        <w:t>, res</w:t>
      </w:r>
      <w:r>
        <w:rPr>
          <w:rFonts w:ascii="Arial" w:eastAsia="Arial Unicode MS" w:hAnsi="Arial" w:cs="Arial"/>
          <w:sz w:val="24"/>
          <w:szCs w:val="24"/>
          <w:lang w:val="es-ES" w:eastAsia="es-ES"/>
        </w:rPr>
        <w:t xml:space="preserve">ulta </w:t>
      </w:r>
      <w:r w:rsidR="00297AFD">
        <w:rPr>
          <w:rFonts w:ascii="Arial" w:eastAsia="Arial Unicode MS" w:hAnsi="Arial" w:cs="Arial"/>
          <w:sz w:val="24"/>
          <w:szCs w:val="24"/>
          <w:lang w:val="es-ES" w:eastAsia="es-ES"/>
        </w:rPr>
        <w:t>indispensable precisar que el Manual General de Organización del Municipio de San Luis Potosí en la Gaceta Municipal, delimita puntualmente el marco de actuación de las áreas administrativas del Municipio de San Luis Potosí, señalando en el numeral 3.2.</w:t>
      </w:r>
      <w:r w:rsidR="009905E8">
        <w:rPr>
          <w:rFonts w:ascii="Arial" w:eastAsia="Arial Unicode MS" w:hAnsi="Arial" w:cs="Arial"/>
          <w:sz w:val="24"/>
          <w:szCs w:val="24"/>
          <w:lang w:val="es-ES" w:eastAsia="es-ES"/>
        </w:rPr>
        <w:t>22,</w:t>
      </w:r>
      <w:r w:rsidR="00297AFD">
        <w:rPr>
          <w:rFonts w:ascii="Arial" w:eastAsia="Arial Unicode MS" w:hAnsi="Arial" w:cs="Arial"/>
          <w:sz w:val="24"/>
          <w:szCs w:val="24"/>
          <w:lang w:val="es-ES" w:eastAsia="es-ES"/>
        </w:rPr>
        <w:t xml:space="preserve"> lo siguiente: </w:t>
      </w:r>
    </w:p>
    <w:p w14:paraId="75592D40" w14:textId="77777777" w:rsidR="00297AFD" w:rsidRDefault="00297AFD" w:rsidP="007D759F">
      <w:pPr>
        <w:spacing w:after="0" w:line="360" w:lineRule="auto"/>
        <w:ind w:firstLine="709"/>
        <w:jc w:val="both"/>
        <w:rPr>
          <w:rFonts w:ascii="Arial" w:eastAsia="Arial Unicode MS" w:hAnsi="Arial" w:cs="Arial"/>
          <w:sz w:val="24"/>
          <w:szCs w:val="24"/>
          <w:lang w:val="es-ES" w:eastAsia="es-ES"/>
        </w:rPr>
      </w:pPr>
    </w:p>
    <w:p w14:paraId="5B81826F" w14:textId="1CEF7145" w:rsidR="00BB1137" w:rsidRPr="009905E8" w:rsidRDefault="009905E8" w:rsidP="00BB1137">
      <w:pPr>
        <w:spacing w:after="0" w:line="240" w:lineRule="auto"/>
        <w:ind w:left="1134" w:right="1185"/>
        <w:jc w:val="both"/>
        <w:rPr>
          <w:rFonts w:ascii="Arial" w:eastAsia="Arial Unicode MS" w:hAnsi="Arial" w:cs="Arial"/>
          <w:lang w:val="es-ES" w:eastAsia="es-ES"/>
        </w:rPr>
      </w:pPr>
      <w:r w:rsidRPr="009905E8">
        <w:rPr>
          <w:rFonts w:ascii="Arial" w:eastAsia="Arial Unicode MS" w:hAnsi="Arial" w:cs="Arial"/>
          <w:b/>
          <w:bCs/>
          <w:lang w:eastAsia="es-ES"/>
        </w:rPr>
        <w:t xml:space="preserve">3.2.22.- DIRECCIÓN DE OBRAS PÚBLICAS OBJETIVO: </w:t>
      </w:r>
      <w:r w:rsidRPr="009905E8">
        <w:rPr>
          <w:rFonts w:ascii="Arial" w:eastAsia="Arial Unicode MS" w:hAnsi="Arial" w:cs="Arial"/>
          <w:bCs/>
          <w:lang w:eastAsia="es-ES"/>
        </w:rPr>
        <w:t>Planear, proyectar, promover y construir la obra pública, garantizando calidad y la correcta aplicación del recurso asignado, que atienda una necesidad en materia de infraestructura, equipamiento urbano y movilidad a los ciudadanos, además de vialidades seguras, de conformidad con la normatividad aplicable.</w:t>
      </w:r>
    </w:p>
    <w:p w14:paraId="480E241D" w14:textId="49D93CC1" w:rsidR="00BB1137" w:rsidRDefault="00BB1137" w:rsidP="00BB1137">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 xml:space="preserve">Funciones: </w:t>
      </w:r>
    </w:p>
    <w:p w14:paraId="0BD8D4BB"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FUNCIONES: I. Establecer y administrar un banco municipal de proyectos de obras y acciones, con el estatus actualizado de los mismos para facilitar el acceso a aportaciones y recursos transferidos por el estado y la federación; </w:t>
      </w:r>
    </w:p>
    <w:p w14:paraId="473C607C"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II. Validar físicamente las peticiones para determinar la factibilidad técnico–económica, así mismo, elaborar y/o coordinar el proyecto ejecutivo, generando un anteproyecto y un estimado de costo, y de ser factible, elaborar o coordinar la realización de proyectos ejecutivos asignando el costo y cumpliendo con la normatividad aplicable en cada uno de los casos; </w:t>
      </w:r>
    </w:p>
    <w:p w14:paraId="135C5B99"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III. Priorizar, ejecutar y evaluar, los programas, proyectos, obras y acciones que contribuyan al desarrollo social y humano de la población en condiciones de marginación y pobreza; </w:t>
      </w:r>
    </w:p>
    <w:p w14:paraId="669EB1A3"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IV. Revisar y actualizar los sistemas integrales de información, seguimiento y evaluación de las obras y acciones del ramo 33 que conforman el programa operativo anual, a fin de garantizar </w:t>
      </w:r>
      <w:r w:rsidRPr="009905E8">
        <w:rPr>
          <w:rFonts w:ascii="Arial" w:eastAsia="Arial Unicode MS" w:hAnsi="Arial" w:cs="Arial"/>
          <w:lang w:eastAsia="es-ES"/>
        </w:rPr>
        <w:lastRenderedPageBreak/>
        <w:t xml:space="preserve">la transparencia en la aplicación y manejo de los fondos municipales, así como de recursos extraordinarios asignados y, generar informes oficiales a Dependencias Estatales y Federales competentes para ello; </w:t>
      </w:r>
    </w:p>
    <w:p w14:paraId="315297A2"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V. Realizar la planeación para la integración de proyectos, de acuerdo, al presupuesto asignado y de conformidad con el Plan Municipal de Desarrollo, para su autorización tomando como base los lineamientos del origen del recurso; </w:t>
      </w:r>
    </w:p>
    <w:p w14:paraId="420107F4"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VI. Evaluar de manera conjunta con las diversas dependencias municipales los lineamientos a seguir, para procurar que la aplicación de los recursos se realice conforme a las disposiciones, según sea el caso, en cada ejercicio presupuestal; </w:t>
      </w:r>
    </w:p>
    <w:p w14:paraId="0EDCA489"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VII. Dirigir y vigilar la Integración, para la presentación en tiempo y forma de los expedientes unitarios de obras y acciones, desde la gestión, programación, asignación, ejecución y comprobación de recursos hasta su resguardo, así mismo, resguardarlos y ponerlos a disposición de los órganos de fiscalización competentes; </w:t>
      </w:r>
    </w:p>
    <w:p w14:paraId="3934FCC7"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VIII. Establecer y vigilar la debida conformación y actualización del padrón de contratistas, así como un banco municipal de costos, conceptos de obra pública y servicios relacionados con la misma; </w:t>
      </w:r>
    </w:p>
    <w:p w14:paraId="5DDA625C"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IX. Contratar la realización de obras públicas y servicios relacionados con las mismas, conforme a los lineamientos referidos por la ley de la materia y bajo las modalidades de adjudicación directa, invitación restringida y licitación pública; </w:t>
      </w:r>
    </w:p>
    <w:p w14:paraId="512B60E3"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 Complementar y fortalecer el marco normativo, así como implementar instrumentos para mejorar substancialmente la contratación de obras públicas y servicios relacionados con las mismas, conforme la normatividad aplicable; </w:t>
      </w:r>
    </w:p>
    <w:p w14:paraId="1209EAAD"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XI. Coordinar el proceso constructivo de las obras públicas, con el fin de asegurar la calidad y cumplimiento de conceptos, volúmenes y fechas de acuerdo con los trabajos y acciones contraídas, así mismo, administrar la integración de los registros de control correspondientes a las obras en proceso, desde su inicio hasta su terminación; </w:t>
      </w:r>
    </w:p>
    <w:p w14:paraId="6EBAD64F"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XII. Aplicar controles administrativos e integrar los registros necesarios para los recursos destinados a las obras y acciones públicas, además de realizar la revisión, gestión del pago, comprobación de anticipo, estimaciones y finiquitos de obras y actividades relacionadas con las mismas; </w:t>
      </w:r>
    </w:p>
    <w:p w14:paraId="44339D94"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XIII. Mantener registros específicos de cada fondo que tiene encomendado para su ejercicio, debidamente actualizados, identificados y controlados, así como la documentación original que justifique y compruebe el gasto; dicha documentación se presentará a las instancias competentes de control y fiscalización que la soliciten; </w:t>
      </w:r>
    </w:p>
    <w:p w14:paraId="68522B8F" w14:textId="77777777" w:rsidR="00597410"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XIV. Administrar el ejercicio de fondos municipales de recursos propios, fondos federales, fondos estatales y mezcla de recursos a través del ramo 33; </w:t>
      </w:r>
    </w:p>
    <w:p w14:paraId="4C0AFFBD" w14:textId="1F00448A" w:rsidR="00BB1137" w:rsidRDefault="009905E8" w:rsidP="00BB1137">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XV. Gestionar en caso de ser necesario el cambio de estructura financiera como ampliación, reducción o cancelación de una obra o acción, a solicitud de la dependencia municipal promotora correspondiente;</w:t>
      </w:r>
    </w:p>
    <w:p w14:paraId="7144B049"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lastRenderedPageBreak/>
        <w:t xml:space="preserve">XVI. Gestionar en caso de ser necesaria la ampliación de los recursos para finalizar las obras contratadas, debiendo observarse que se apegue a los lineamientos establecidos en la ley correspondiente; </w:t>
      </w:r>
    </w:p>
    <w:p w14:paraId="37DB71B2"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XVII. Coordinar, dar seguimiento y evaluar el cumplimiento de la normatividad o lineamientos vigentes, para el destino y control de los programas de obra pública y acciones municipales de acuerdo, al origen de los recursos; </w:t>
      </w:r>
    </w:p>
    <w:p w14:paraId="40341D66"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XVIII. Resguardar las fianzas de cumplimiento y anticipo de obra, así como de vicios ocultos, anexas al expediente unitario y liberar estas; previo cumplimiento de los requisitos generados desde la adjudicación y contratación por parte del constructor; XIX. Administrar el mantenimiento de la red vial del Municipio, mediante el establecimiento, ejecución y control de acciones de bacheo y reparación de tramos menores de pavimentos, en sus diferentes modalidades; </w:t>
      </w:r>
    </w:p>
    <w:p w14:paraId="298950F9"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XX. Proponer por conducto de la Secretaría General del Ayuntamiento, las reformas al o los reglamentos municipales que regulan los servicios públicos de la Dirección de Obras Públicas, en el ámbito de su competencia, de conformidad con lo establecido por la legislación vigente; </w:t>
      </w:r>
    </w:p>
    <w:p w14:paraId="5BB472A1"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XXI. Coordina, planea y da seguimiento a través del medio proporcionado por la Secretaria de bienestar Federal, las obras y acciones con origen de recurso del ramo 33 Fondo para la Infraestructura Social Municipal, plataforma Federal Matriz de Inversión para el Desarrollo Social; </w:t>
      </w:r>
    </w:p>
    <w:p w14:paraId="69846EBF"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XXII. Gestionar las suspensiones temporales en todo o en partes, los trabajos de las obras contratadas, por cualquier causa justificada, determinando la temporalidad de la suspensión la que no podrá ser indefinida; </w:t>
      </w:r>
    </w:p>
    <w:p w14:paraId="74EB24F4"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XXIII. Formular, mejorar y actualizar las disposiciones administrativas de carácter general que forman parte de las bases normativas, en el ámbito de su competencia, es decir, las circulares y otros documentos de carácter oficial que establezcan, organicen y regulen los sistemas, procesos y responsabilidades del personal adscrito a la Dirección de Obras Públicas, tales como: manuales administrativos, guías e instructivos, entre otros de similar naturaleza, de conformidad con las disposiciones vigentes; </w:t>
      </w:r>
    </w:p>
    <w:p w14:paraId="6433F684" w14:textId="77777777" w:rsidR="00597410" w:rsidRDefault="009905E8" w:rsidP="009905E8">
      <w:pPr>
        <w:spacing w:after="0" w:line="240" w:lineRule="auto"/>
        <w:ind w:left="1134" w:right="1185"/>
        <w:jc w:val="both"/>
        <w:rPr>
          <w:rFonts w:ascii="Arial" w:eastAsia="Arial Unicode MS" w:hAnsi="Arial" w:cs="Arial"/>
          <w:lang w:eastAsia="es-ES"/>
        </w:rPr>
      </w:pPr>
      <w:r w:rsidRPr="009905E8">
        <w:rPr>
          <w:rFonts w:ascii="Arial" w:eastAsia="Arial Unicode MS" w:hAnsi="Arial" w:cs="Arial"/>
          <w:lang w:eastAsia="es-ES"/>
        </w:rPr>
        <w:t xml:space="preserve">XXIV. Ejercer las demás atribuciones y facultades que en el ámbito de su competencia le señalen las leyes, reglamentos e instrumentos legales y administrativos vigentes, así como aquellas encomendadas expresamente por la persona titular de la Presidencia Municipal; </w:t>
      </w:r>
    </w:p>
    <w:p w14:paraId="4B72AC93" w14:textId="574A9B48" w:rsidR="009905E8" w:rsidRPr="009905E8" w:rsidRDefault="009905E8" w:rsidP="009905E8">
      <w:pPr>
        <w:spacing w:after="0" w:line="240" w:lineRule="auto"/>
        <w:ind w:left="1134" w:right="1185"/>
        <w:jc w:val="both"/>
        <w:rPr>
          <w:rFonts w:ascii="Arial" w:eastAsia="Arial Unicode MS" w:hAnsi="Arial" w:cs="Arial"/>
          <w:lang w:val="es-ES" w:eastAsia="es-ES"/>
        </w:rPr>
      </w:pPr>
      <w:r w:rsidRPr="009905E8">
        <w:rPr>
          <w:rFonts w:ascii="Arial" w:eastAsia="Arial Unicode MS" w:hAnsi="Arial" w:cs="Arial"/>
          <w:lang w:eastAsia="es-ES"/>
        </w:rPr>
        <w:t>XXV. Ejercer originariamente el trámite y resolución de los asuntos de su competencia, y que, para la mejor organización del trabajo, la o el Director de Obras Públicas delegará cualquiera de sus funciones, excepto aquellas que, por disposición de ley, reglamento interno o acuerdo, deban ser ejercidos precisamente por ella o él.</w:t>
      </w:r>
    </w:p>
    <w:p w14:paraId="335D8034" w14:textId="77777777" w:rsidR="00597410" w:rsidRDefault="00597410" w:rsidP="00BB1137">
      <w:pPr>
        <w:spacing w:after="0" w:line="240" w:lineRule="auto"/>
        <w:ind w:left="1134" w:right="1185"/>
        <w:jc w:val="both"/>
        <w:rPr>
          <w:rFonts w:ascii="Arial" w:eastAsia="Arial Unicode MS" w:hAnsi="Arial" w:cs="Arial"/>
          <w:lang w:val="es-ES" w:eastAsia="es-ES"/>
        </w:rPr>
      </w:pPr>
    </w:p>
    <w:p w14:paraId="2762EB9E" w14:textId="32E9187F" w:rsidR="00BB1137" w:rsidRDefault="00BB1137" w:rsidP="00BB1137">
      <w:pPr>
        <w:spacing w:after="0" w:line="240" w:lineRule="auto"/>
        <w:ind w:left="1134" w:right="1185"/>
        <w:jc w:val="both"/>
        <w:rPr>
          <w:rFonts w:ascii="Arial" w:eastAsia="Arial Unicode MS" w:hAnsi="Arial" w:cs="Arial"/>
          <w:lang w:val="es-ES" w:eastAsia="es-ES"/>
        </w:rPr>
      </w:pPr>
      <w:r>
        <w:rPr>
          <w:rFonts w:ascii="Arial" w:eastAsia="Arial Unicode MS" w:hAnsi="Arial" w:cs="Arial"/>
          <w:lang w:val="es-ES" w:eastAsia="es-ES"/>
        </w:rPr>
        <w:t>[…]</w:t>
      </w:r>
    </w:p>
    <w:p w14:paraId="7D6F302C" w14:textId="77777777" w:rsidR="00BB1137" w:rsidRDefault="00BB1137" w:rsidP="00BB1137">
      <w:pPr>
        <w:spacing w:after="0" w:line="240" w:lineRule="auto"/>
        <w:ind w:left="1134" w:right="1185"/>
        <w:jc w:val="both"/>
        <w:rPr>
          <w:rFonts w:ascii="Arial" w:eastAsia="Arial Unicode MS" w:hAnsi="Arial" w:cs="Arial"/>
          <w:lang w:val="es-ES" w:eastAsia="es-ES"/>
        </w:rPr>
      </w:pPr>
    </w:p>
    <w:p w14:paraId="109568CC" w14:textId="77777777" w:rsidR="00BB1137" w:rsidRDefault="00BB1137" w:rsidP="00BB1137">
      <w:pPr>
        <w:spacing w:after="0" w:line="240" w:lineRule="auto"/>
        <w:ind w:left="1134" w:right="1185"/>
        <w:jc w:val="both"/>
        <w:rPr>
          <w:rFonts w:ascii="Arial" w:eastAsia="Arial Unicode MS" w:hAnsi="Arial" w:cs="Arial"/>
          <w:lang w:val="es-ES" w:eastAsia="es-ES"/>
        </w:rPr>
      </w:pPr>
    </w:p>
    <w:p w14:paraId="3573EBC0" w14:textId="5FB4C42C" w:rsidR="00597410" w:rsidRDefault="00597410"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Así, de la lectura sistemática de la normatividad citada, correlacionada con los artículos 189 y 190 del Reglamento Interno del Municipio de San Luis Potosí, </w:t>
      </w:r>
      <w:r>
        <w:rPr>
          <w:rFonts w:ascii="Arial" w:eastAsia="Arial Unicode MS" w:hAnsi="Arial" w:cs="Arial"/>
          <w:sz w:val="24"/>
          <w:szCs w:val="24"/>
          <w:lang w:val="es-ES" w:eastAsia="es-ES"/>
        </w:rPr>
        <w:lastRenderedPageBreak/>
        <w:t xml:space="preserve">se desprende con meridiana claridad que la Dirección de Obras Públicas no cuenta con facultades legales ni normativas para concebir, diseñar o trazar de forma unilateral </w:t>
      </w:r>
      <w:r w:rsidR="002A6CF1">
        <w:rPr>
          <w:rFonts w:ascii="Arial" w:eastAsia="Arial Unicode MS" w:hAnsi="Arial" w:cs="Arial"/>
          <w:sz w:val="24"/>
          <w:szCs w:val="24"/>
          <w:lang w:val="es-ES" w:eastAsia="es-ES"/>
        </w:rPr>
        <w:t xml:space="preserve">proyectos de movilidad sustentable o redes de ciclovías, su intervención en materia de infraestructura ciclista es estrictamente operativa, constructiva y de mantenimiento sobre trazas viales consolidadas, encontrándose supeditada la planeación previa, evaluación técnica y aprobación que emitan los organismos rectores en materia de desarrollo urbano y movilidad. </w:t>
      </w:r>
    </w:p>
    <w:p w14:paraId="34D6BC9A" w14:textId="36144422" w:rsidR="002A6CF1" w:rsidRDefault="002A6CF1" w:rsidP="007D759F">
      <w:pPr>
        <w:spacing w:after="0" w:line="360" w:lineRule="auto"/>
        <w:ind w:firstLine="709"/>
        <w:jc w:val="both"/>
        <w:rPr>
          <w:rFonts w:ascii="Arial" w:eastAsia="Arial Unicode MS" w:hAnsi="Arial" w:cs="Arial"/>
          <w:sz w:val="24"/>
          <w:szCs w:val="24"/>
          <w:lang w:val="es-ES" w:eastAsia="es-ES"/>
        </w:rPr>
      </w:pPr>
    </w:p>
    <w:p w14:paraId="4286A4B1" w14:textId="18C1CD3B" w:rsidR="002A6CF1" w:rsidRDefault="002A6CF1"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En este sentido, el alcance real de las atribuciones de la Dirección de Obras, se agota en: </w:t>
      </w:r>
    </w:p>
    <w:p w14:paraId="5DEB20D5" w14:textId="6B6F8DDE" w:rsidR="002A6CF1" w:rsidRDefault="002A6CF1" w:rsidP="002A6CF1">
      <w:pPr>
        <w:pStyle w:val="ListParagraph"/>
        <w:numPr>
          <w:ilvl w:val="0"/>
          <w:numId w:val="10"/>
        </w:numPr>
        <w:spacing w:after="0" w:line="360" w:lineRule="auto"/>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Programar y ejecutar obras, acciones de bacheo, pavimentación y mantenimiento a la red vial, a la red ciclista y a las banquetas. </w:t>
      </w:r>
    </w:p>
    <w:p w14:paraId="31A2760F" w14:textId="1AF77C6D" w:rsidR="002A6CF1" w:rsidRDefault="002A6CF1" w:rsidP="002A6CF1">
      <w:pPr>
        <w:pStyle w:val="ListParagraph"/>
        <w:numPr>
          <w:ilvl w:val="0"/>
          <w:numId w:val="10"/>
        </w:numPr>
        <w:spacing w:after="0" w:line="360" w:lineRule="auto"/>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Desarrollar proyectos de ingeniería y arquitectura orientados a la ejecución constructiva de administrar el banco municipal de proyectos de obra.</w:t>
      </w:r>
    </w:p>
    <w:p w14:paraId="236D14BD" w14:textId="5307F8D8" w:rsidR="002A6CF1" w:rsidRPr="002A6CF1" w:rsidRDefault="002A6CF1" w:rsidP="002A6CF1">
      <w:pPr>
        <w:pStyle w:val="ListParagraph"/>
        <w:numPr>
          <w:ilvl w:val="0"/>
          <w:numId w:val="10"/>
        </w:numPr>
        <w:spacing w:after="0" w:line="360" w:lineRule="auto"/>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Vigilar los procesos constructivos conforme a los expedientes técnicos previamente validados. </w:t>
      </w:r>
    </w:p>
    <w:p w14:paraId="4486DE85" w14:textId="3F28BF56" w:rsidR="00597410" w:rsidRDefault="00597410" w:rsidP="007D759F">
      <w:pPr>
        <w:spacing w:after="0" w:line="360" w:lineRule="auto"/>
        <w:ind w:firstLine="709"/>
        <w:jc w:val="both"/>
        <w:rPr>
          <w:rFonts w:ascii="Arial" w:eastAsia="Arial Unicode MS" w:hAnsi="Arial" w:cs="Arial"/>
          <w:sz w:val="24"/>
          <w:szCs w:val="24"/>
          <w:lang w:val="es-ES" w:eastAsia="es-ES"/>
        </w:rPr>
      </w:pPr>
    </w:p>
    <w:p w14:paraId="19411465" w14:textId="0A70D2F8" w:rsidR="002A6CF1" w:rsidRDefault="002A6CF1"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En contraste, la potestad de proyectar, estudiar y diseñar </w:t>
      </w:r>
      <w:r w:rsidR="00B958C4">
        <w:rPr>
          <w:rFonts w:ascii="Arial" w:eastAsia="Arial Unicode MS" w:hAnsi="Arial" w:cs="Arial"/>
          <w:sz w:val="24"/>
          <w:szCs w:val="24"/>
          <w:lang w:val="es-ES" w:eastAsia="es-ES"/>
        </w:rPr>
        <w:t xml:space="preserve">la red ciclista recae sustantivamente en el IMPLAN, organismo descentralizado con personalidad jurídica y patrimonio propio creado por Decreto Legislativo 494 publicado en el Periódico Oficial del Estado el 11 de abril de 2006, y regulado por los artículos 18 fracción I y 38 de la Ley de Ordenamiento Territorial y Desarrollo Urbano del Estado de San Luis Potosí. Es dicho instituto el facultado para realizar, impulsar y coordinar los estudios de movilidad no motora y estructurar, las propuestas técnicas de ciclovías, para posteriormente someterlas a aprobación de las instancias correspondientes. </w:t>
      </w:r>
    </w:p>
    <w:p w14:paraId="255A21A7" w14:textId="5D7ED956" w:rsidR="00B958C4" w:rsidRDefault="00B958C4" w:rsidP="007D759F">
      <w:pPr>
        <w:spacing w:after="0" w:line="360" w:lineRule="auto"/>
        <w:ind w:firstLine="709"/>
        <w:jc w:val="both"/>
        <w:rPr>
          <w:rFonts w:ascii="Arial" w:eastAsia="Arial Unicode MS" w:hAnsi="Arial" w:cs="Arial"/>
          <w:sz w:val="24"/>
          <w:szCs w:val="24"/>
          <w:lang w:val="es-ES" w:eastAsia="es-ES"/>
        </w:rPr>
      </w:pPr>
    </w:p>
    <w:p w14:paraId="6664AB2E" w14:textId="04B85443" w:rsidR="00B958C4" w:rsidRDefault="00B958C4"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Aunado a lo anterior, conviene destacar que conforme al punto 3.2.10.2, inciso ff) subinciso 4, del manual General de Organización y su correlativo en el Reglamento Interno, la Dirección General de Policía Vial y Movilidad cuenta con la función de proyectar rutas para la implementación de ciclovías que fomenten el uso de la bicicleta y otros mecanismos de transporte no motorizados, actuando </w:t>
      </w:r>
      <w:r>
        <w:rPr>
          <w:rFonts w:ascii="Arial" w:eastAsia="Arial Unicode MS" w:hAnsi="Arial" w:cs="Arial"/>
          <w:sz w:val="24"/>
          <w:szCs w:val="24"/>
          <w:lang w:val="es-ES" w:eastAsia="es-ES"/>
        </w:rPr>
        <w:lastRenderedPageBreak/>
        <w:t xml:space="preserve">en colaboración directa con el IMPLAN y no de manera subordinada o sustituta respecto a la Dirección de Obras Públicas. </w:t>
      </w:r>
    </w:p>
    <w:p w14:paraId="2E853FB8" w14:textId="67A537F0" w:rsidR="006D68A5" w:rsidRDefault="006D68A5" w:rsidP="007D759F">
      <w:pPr>
        <w:spacing w:after="0" w:line="360" w:lineRule="auto"/>
        <w:ind w:firstLine="709"/>
        <w:jc w:val="both"/>
        <w:rPr>
          <w:rFonts w:ascii="Arial" w:eastAsia="Arial Unicode MS" w:hAnsi="Arial" w:cs="Arial"/>
          <w:sz w:val="24"/>
          <w:szCs w:val="24"/>
          <w:lang w:val="es-ES" w:eastAsia="es-ES"/>
        </w:rPr>
      </w:pPr>
    </w:p>
    <w:p w14:paraId="485FEF8B" w14:textId="76AD131C" w:rsidR="006D68A5" w:rsidRDefault="006D68A5"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Así, la competencia y procedencia del IMPLAN en el desarrollo de infraestructura de movilidad ciclista, se tiene:</w:t>
      </w:r>
    </w:p>
    <w:p w14:paraId="68C31DCB" w14:textId="56277996" w:rsidR="006D68A5" w:rsidRDefault="006D68A5" w:rsidP="007D759F">
      <w:pPr>
        <w:spacing w:after="0" w:line="360" w:lineRule="auto"/>
        <w:ind w:firstLine="709"/>
        <w:jc w:val="both"/>
        <w:rPr>
          <w:rFonts w:ascii="Arial" w:eastAsia="Arial Unicode MS" w:hAnsi="Arial" w:cs="Arial"/>
          <w:sz w:val="24"/>
          <w:szCs w:val="24"/>
          <w:lang w:val="es-ES" w:eastAsia="es-ES"/>
        </w:rPr>
      </w:pPr>
    </w:p>
    <w:p w14:paraId="43704B0F" w14:textId="4F072891" w:rsidR="006D68A5" w:rsidRDefault="006D68A5"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De conformidad con el artículo 3, fracciones XVI y XVIII, del Reglamento Interno del Instituto –municipal de Planeación de San Luis Potosí, dicho organismo tiene como atribución expresa realizar, impulsar y participar en la elaboración de los estudios de movilidad urbana motora y no motora, así como los planes o programas sectoriales que de estos se deriven. Asimismo, le compete compilar la información necesaria para actualizar la cartografía con la red vial existente y en proyecto, emitir dictámenes de traza urbana y proponer programas sectoriales de infraestructura vial en armonía con los artículos 33, 34 y 35 del Decreto de creación 494.</w:t>
      </w:r>
    </w:p>
    <w:p w14:paraId="60AC159F" w14:textId="4CD4EB97" w:rsidR="006D68A5" w:rsidRDefault="006D68A5" w:rsidP="007D759F">
      <w:pPr>
        <w:spacing w:after="0" w:line="360" w:lineRule="auto"/>
        <w:ind w:firstLine="709"/>
        <w:jc w:val="both"/>
        <w:rPr>
          <w:rFonts w:ascii="Arial" w:eastAsia="Arial Unicode MS" w:hAnsi="Arial" w:cs="Arial"/>
          <w:sz w:val="24"/>
          <w:szCs w:val="24"/>
          <w:lang w:val="es-ES" w:eastAsia="es-ES"/>
        </w:rPr>
      </w:pPr>
    </w:p>
    <w:p w14:paraId="1F5EEB61" w14:textId="281C597A" w:rsidR="006D68A5" w:rsidRDefault="006D68A5" w:rsidP="007D759F">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Asimismo, conforme el artículo 22, fracción III y artículo 27 del Reglamento Interno del IMPLAN, la unidad de Proye</w:t>
      </w:r>
      <w:r w:rsidR="0051036A">
        <w:rPr>
          <w:rFonts w:ascii="Arial" w:eastAsia="Arial Unicode MS" w:hAnsi="Arial" w:cs="Arial"/>
          <w:sz w:val="24"/>
          <w:szCs w:val="24"/>
          <w:lang w:val="es-ES" w:eastAsia="es-ES"/>
        </w:rPr>
        <w:t xml:space="preserve">ctos urbanos a nivel conceptual, operativo y funcional, participar en la urbana y vialidad que sirvan de sustento en el Ayuntamiento. </w:t>
      </w:r>
    </w:p>
    <w:p w14:paraId="62A15537" w14:textId="4F7234A4" w:rsidR="0051036A" w:rsidRDefault="0051036A" w:rsidP="007D759F">
      <w:pPr>
        <w:spacing w:after="0" w:line="360" w:lineRule="auto"/>
        <w:ind w:firstLine="709"/>
        <w:jc w:val="both"/>
        <w:rPr>
          <w:rFonts w:ascii="Arial" w:eastAsia="Arial Unicode MS" w:hAnsi="Arial" w:cs="Arial"/>
          <w:sz w:val="24"/>
          <w:szCs w:val="24"/>
          <w:lang w:val="es-ES" w:eastAsia="es-ES"/>
        </w:rPr>
      </w:pPr>
    </w:p>
    <w:p w14:paraId="6454236F" w14:textId="6BF23FB0" w:rsidR="0051036A" w:rsidRDefault="0051036A" w:rsidP="0051036A">
      <w:pPr>
        <w:spacing w:after="0" w:line="360" w:lineRule="auto"/>
        <w:ind w:firstLine="709"/>
        <w:jc w:val="both"/>
        <w:rPr>
          <w:rFonts w:ascii="Arial" w:eastAsia="Arial Unicode MS" w:hAnsi="Arial" w:cs="Arial"/>
          <w:sz w:val="24"/>
          <w:szCs w:val="24"/>
          <w:lang w:val="es-ES" w:eastAsia="es-ES"/>
        </w:rPr>
      </w:pPr>
      <w:r>
        <w:rPr>
          <w:rFonts w:ascii="Arial" w:eastAsia="Arial Unicode MS" w:hAnsi="Arial" w:cs="Arial"/>
          <w:sz w:val="24"/>
          <w:szCs w:val="24"/>
          <w:lang w:val="es-ES" w:eastAsia="es-ES"/>
        </w:rPr>
        <w:t xml:space="preserve">Además, en términos del procedimiento de elaboración de proyectos previsto en el manual del IMPLAN, la creación de proyectos de movilidad activa exige una secuencia preclusiva y rigurosa: a) la Dirección del IMPLAN instruye formalmente a la Unidad de Proyectos la Integración de la Propuesta; b) La unidad de proyectos recopila y procesa los antecedentes técnicos, estadísticos y cartográficos; tratándose específicamente de temas de movilidad o ciclovias, el Instituto convoca a la mesa de movilidad a las dependencias municipales conducentes para revisión técnica y observaciones; se desahoga el ejercicio de participación y consulta ciudadana; la mesa de movilidad aprueba el proyecto formulado; se presenta el proyecto ejecutivo concluido al Director General y al Gobierno Municipal para su formal autorización e implementación operativa y presupuestal. </w:t>
      </w:r>
    </w:p>
    <w:p w14:paraId="43851A19" w14:textId="73AE63C7" w:rsidR="0051036A" w:rsidRDefault="0051036A" w:rsidP="007D759F">
      <w:pPr>
        <w:spacing w:after="0" w:line="360" w:lineRule="auto"/>
        <w:ind w:firstLine="709"/>
        <w:jc w:val="both"/>
        <w:rPr>
          <w:rFonts w:ascii="Arial" w:eastAsia="Arial Unicode MS" w:hAnsi="Arial" w:cs="Arial"/>
          <w:sz w:val="24"/>
          <w:szCs w:val="24"/>
          <w:lang w:val="es-ES" w:eastAsia="es-ES"/>
        </w:rPr>
      </w:pPr>
    </w:p>
    <w:p w14:paraId="178DC913" w14:textId="35A7BD2A" w:rsidR="008E2F6A" w:rsidRDefault="00953223" w:rsidP="007D759F">
      <w:pPr>
        <w:spacing w:after="0" w:line="360" w:lineRule="auto"/>
        <w:ind w:firstLine="709"/>
        <w:jc w:val="both"/>
        <w:rPr>
          <w:rFonts w:ascii="Arial" w:eastAsia="Arial Unicode MS" w:hAnsi="Arial" w:cs="Arial"/>
          <w:sz w:val="24"/>
          <w:szCs w:val="24"/>
          <w:lang w:val="es-ES" w:eastAsia="es-ES"/>
        </w:rPr>
      </w:pPr>
      <w:r w:rsidRPr="00953223">
        <w:rPr>
          <w:rFonts w:ascii="Arial" w:eastAsia="Arial Unicode MS" w:hAnsi="Arial" w:cs="Arial"/>
          <w:sz w:val="24"/>
          <w:szCs w:val="24"/>
          <w:lang w:val="es-ES" w:eastAsia="es-ES"/>
        </w:rPr>
        <w:lastRenderedPageBreak/>
        <w:t xml:space="preserve">A </w:t>
      </w:r>
      <w:r w:rsidR="00BB1137" w:rsidRPr="00953223">
        <w:rPr>
          <w:rFonts w:ascii="Arial" w:eastAsia="Arial Unicode MS" w:hAnsi="Arial" w:cs="Arial"/>
          <w:sz w:val="24"/>
          <w:szCs w:val="24"/>
          <w:lang w:val="es-ES" w:eastAsia="es-ES"/>
        </w:rPr>
        <w:t>este respecto, es de  precisarse que, el Instituto Municipal de Planeación (IMPLAN), es un organismo descentralizado que cuenta con personalidad jurídica y patrimonio propios conforme a su Decreto de Creación 494</w:t>
      </w:r>
      <w:r w:rsidR="00BB1137">
        <w:rPr>
          <w:rFonts w:ascii="Arial" w:eastAsia="Arial Unicode MS" w:hAnsi="Arial" w:cs="Arial"/>
          <w:sz w:val="24"/>
          <w:szCs w:val="24"/>
          <w:lang w:val="es-ES" w:eastAsia="es-ES"/>
        </w:rPr>
        <w:t xml:space="preserve"> publicado en el Periódico Oficial del Estado, el 11 de abril de 2006, así como su estructura orgánica, Comité y Unidad de Transparencia </w:t>
      </w:r>
      <w:r w:rsidR="008E2F6A">
        <w:rPr>
          <w:rFonts w:ascii="Arial" w:eastAsia="Arial Unicode MS" w:hAnsi="Arial" w:cs="Arial"/>
          <w:sz w:val="24"/>
          <w:szCs w:val="24"/>
          <w:lang w:val="es-ES" w:eastAsia="es-ES"/>
        </w:rPr>
        <w:t xml:space="preserve">independientes, figurando en el catalogo y directorio de sujetos obligados emitidos por esta Comisión Estatal de Garantía bajo la clave ODM 45- Instituto Municipal de Planeación. </w:t>
      </w:r>
    </w:p>
    <w:p w14:paraId="61D0C171" w14:textId="77777777" w:rsidR="008E2F6A" w:rsidRDefault="008E2F6A" w:rsidP="007D759F">
      <w:pPr>
        <w:spacing w:after="0" w:line="360" w:lineRule="auto"/>
        <w:ind w:firstLine="709"/>
        <w:jc w:val="both"/>
        <w:rPr>
          <w:rFonts w:ascii="Arial" w:eastAsia="Arial Unicode MS" w:hAnsi="Arial" w:cs="Arial"/>
          <w:sz w:val="24"/>
          <w:szCs w:val="24"/>
          <w:lang w:val="es-ES" w:eastAsia="es-ES"/>
        </w:rPr>
      </w:pPr>
    </w:p>
    <w:p w14:paraId="72268CAC" w14:textId="748F6C45"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r w:rsidRPr="00DD226C">
        <w:rPr>
          <w:rFonts w:ascii="Arial" w:hAnsi="Arial" w:cs="Arial"/>
          <w:bCs/>
          <w:sz w:val="24"/>
          <w:lang w:val="es-ES"/>
        </w:rPr>
        <w:t>Conforme lo anterior,</w:t>
      </w:r>
      <w:r>
        <w:rPr>
          <w:rFonts w:ascii="Arial" w:hAnsi="Arial" w:cs="Arial"/>
          <w:bCs/>
          <w:sz w:val="24"/>
          <w:lang w:val="es-ES"/>
        </w:rPr>
        <w:t xml:space="preserve"> si bien es cierto que, </w:t>
      </w:r>
      <w:r>
        <w:rPr>
          <w:rFonts w:ascii="Arial" w:eastAsia="Arial Unicode MS" w:hAnsi="Arial" w:cs="Arial"/>
          <w:sz w:val="24"/>
          <w:szCs w:val="24"/>
          <w:lang w:val="es-ES" w:eastAsia="es-ES"/>
        </w:rPr>
        <w:t xml:space="preserve">Instituto Municipal de Planeación (IMPLAN), forma parte del Ayuntamiento de San Luis Potosí, se reitera que </w:t>
      </w:r>
      <w:r>
        <w:rPr>
          <w:rFonts w:ascii="Arial" w:hAnsi="Arial" w:cs="Arial"/>
          <w:bCs/>
          <w:sz w:val="24"/>
          <w:lang w:val="es-ES"/>
        </w:rPr>
        <w:t>esta autoridad se encuentra registrada como sujeto obligado</w:t>
      </w:r>
      <w:r w:rsidRPr="00DD226C">
        <w:rPr>
          <w:rFonts w:ascii="Arial" w:hAnsi="Arial" w:cs="Arial"/>
          <w:bCs/>
          <w:sz w:val="24"/>
          <w:lang w:val="es-ES"/>
        </w:rPr>
        <w:t xml:space="preserve"> en el padrón de sujetos obligados emitido por esta Comisión a través del acuerdo CEGAIP-142/2016 S.O.,</w:t>
      </w:r>
      <w:r w:rsidRPr="00DD226C">
        <w:rPr>
          <w:rFonts w:ascii="Arial" w:hAnsi="Arial" w:cs="Arial"/>
          <w:bCs/>
          <w:iCs/>
          <w:sz w:val="24"/>
          <w:lang w:val="es-ES"/>
        </w:rPr>
        <w:t xml:space="preserve"> por el cual se les asignó a cada uno de ellos una clave única que permita identificar las solicitudes de acceso a la información, sus estadísticas o cualquier otra información en las distintas bases de datos en posesión actual o que genere la CEGAIP. </w:t>
      </w:r>
    </w:p>
    <w:p w14:paraId="4BEFA65C"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p>
    <w:p w14:paraId="43CDE546" w14:textId="5F7423D2"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r w:rsidRPr="00DD226C">
        <w:rPr>
          <w:rFonts w:ascii="Arial" w:hAnsi="Arial" w:cs="Arial"/>
          <w:bCs/>
          <w:sz w:val="24"/>
          <w:lang w:val="es-ES"/>
        </w:rPr>
        <w:t>En el acuerdo CEGAIP-142/2016 S.O.,</w:t>
      </w:r>
      <w:r w:rsidRPr="00DD226C">
        <w:rPr>
          <w:rFonts w:ascii="Arial" w:hAnsi="Arial" w:cs="Arial"/>
          <w:bCs/>
          <w:iCs/>
          <w:sz w:val="24"/>
          <w:lang w:val="es-ES"/>
        </w:rPr>
        <w:t xml:space="preserve"> se estableció que, los efectos del padrón de sujetos obligados </w:t>
      </w:r>
      <w:r w:rsidRPr="00DD226C">
        <w:rPr>
          <w:rFonts w:ascii="Arial" w:hAnsi="Arial" w:cs="Arial"/>
          <w:bCs/>
          <w:iCs/>
          <w:sz w:val="24"/>
          <w:u w:val="single"/>
          <w:lang w:val="es-ES"/>
        </w:rPr>
        <w:t>en el ámbito de competencia de la CEGAIP son declarativos y no constitutivos</w:t>
      </w:r>
      <w:r w:rsidRPr="00DD226C">
        <w:rPr>
          <w:rFonts w:ascii="Arial" w:hAnsi="Arial" w:cs="Arial"/>
          <w:bCs/>
          <w:iCs/>
          <w:sz w:val="24"/>
          <w:lang w:val="es-ES"/>
        </w:rPr>
        <w:t>, por lo que el hecho de que se encuentren contemplados en el mismo no establece su regulación, ni prejuzga respecto de los ordenamientos jurídicos que le son aplicables e</w:t>
      </w:r>
      <w:r w:rsidRPr="00DD226C">
        <w:rPr>
          <w:rFonts w:ascii="Arial" w:hAnsi="Arial" w:cs="Arial"/>
          <w:bCs/>
          <w:sz w:val="24"/>
          <w:lang w:val="es-ES"/>
        </w:rPr>
        <w:t xml:space="preserve">s decir, </w:t>
      </w:r>
      <w:r w:rsidRPr="00DD226C">
        <w:rPr>
          <w:rFonts w:ascii="Arial" w:hAnsi="Arial" w:cs="Arial"/>
          <w:bCs/>
          <w:sz w:val="24"/>
          <w:u w:val="single"/>
          <w:lang w:val="es-ES"/>
        </w:rPr>
        <w:t>los efectos del</w:t>
      </w:r>
      <w:r w:rsidR="006D68A5">
        <w:rPr>
          <w:rFonts w:ascii="Arial" w:hAnsi="Arial" w:cs="Arial"/>
          <w:bCs/>
          <w:sz w:val="24"/>
          <w:u w:val="single"/>
          <w:lang w:val="es-ES"/>
        </w:rPr>
        <w:t xml:space="preserve">, </w:t>
      </w:r>
      <w:r w:rsidRPr="00DD226C">
        <w:rPr>
          <w:rFonts w:ascii="Arial" w:hAnsi="Arial" w:cs="Arial"/>
          <w:bCs/>
          <w:sz w:val="24"/>
          <w:u w:val="single"/>
          <w:lang w:val="es-ES"/>
        </w:rPr>
        <w:t xml:space="preserve"> padrón de Sujetos Obligados, son en relación con el debido cumplimiento de la Ley de Transparencia del Estado.</w:t>
      </w:r>
    </w:p>
    <w:p w14:paraId="4CE17DB4"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p>
    <w:p w14:paraId="01A042FA"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r w:rsidRPr="00DD226C">
        <w:rPr>
          <w:rFonts w:ascii="Arial" w:hAnsi="Arial" w:cs="Arial"/>
          <w:bCs/>
          <w:sz w:val="24"/>
          <w:lang w:val="es-ES"/>
        </w:rPr>
        <w:t>En este tenor, es importante mencionar que las uni</w:t>
      </w:r>
      <w:r w:rsidRPr="00DD226C">
        <w:rPr>
          <w:rFonts w:ascii="Arial" w:hAnsi="Arial" w:cs="Arial"/>
          <w:bCs/>
          <w:sz w:val="24"/>
          <w:lang w:val="es-ES"/>
        </w:rPr>
        <w:softHyphen/>
        <w:t>dades de transparencia de los sujetos obligados son el interlocutor entre las áreas responsables y los comités, para que los procedimientos sean fluidos y apegados a la normatividad en la materia, por tanto, el papel de interlocución de las unidades de transparencia para la efectiva ejecución de las figuras jurídicas mencionadas, es trascendente y al respecto es importante se propongan los procedimientos internos que lleven a una óptima garantía del derecho en cita</w:t>
      </w:r>
      <w:r w:rsidRPr="00DD226C">
        <w:rPr>
          <w:rFonts w:ascii="Arial" w:hAnsi="Arial" w:cs="Arial"/>
          <w:bCs/>
          <w:sz w:val="24"/>
          <w:vertAlign w:val="superscript"/>
          <w:lang w:val="es-ES"/>
        </w:rPr>
        <w:footnoteReference w:id="8"/>
      </w:r>
      <w:r>
        <w:rPr>
          <w:rFonts w:ascii="Arial" w:hAnsi="Arial" w:cs="Arial"/>
          <w:bCs/>
          <w:sz w:val="24"/>
          <w:lang w:val="es-ES"/>
        </w:rPr>
        <w:t>.</w:t>
      </w:r>
    </w:p>
    <w:p w14:paraId="7C362976" w14:textId="77777777" w:rsidR="008E2F6A" w:rsidRPr="00DD226C" w:rsidRDefault="008E2F6A" w:rsidP="008E2F6A">
      <w:pPr>
        <w:autoSpaceDE w:val="0"/>
        <w:autoSpaceDN w:val="0"/>
        <w:adjustRightInd w:val="0"/>
        <w:spacing w:after="0" w:line="360" w:lineRule="auto"/>
        <w:ind w:firstLine="708"/>
        <w:jc w:val="both"/>
        <w:rPr>
          <w:rFonts w:ascii="Arial" w:hAnsi="Arial" w:cs="Arial"/>
          <w:bCs/>
          <w:sz w:val="24"/>
          <w:lang w:val="es-ES"/>
        </w:rPr>
      </w:pPr>
    </w:p>
    <w:p w14:paraId="6FA84923" w14:textId="77777777" w:rsidR="005166C3" w:rsidRDefault="008E2F6A" w:rsidP="008E2F6A">
      <w:pPr>
        <w:autoSpaceDE w:val="0"/>
        <w:autoSpaceDN w:val="0"/>
        <w:adjustRightInd w:val="0"/>
        <w:spacing w:after="0" w:line="360" w:lineRule="auto"/>
        <w:ind w:firstLine="708"/>
        <w:jc w:val="both"/>
        <w:rPr>
          <w:rFonts w:ascii="Arial" w:hAnsi="Arial" w:cs="Arial"/>
          <w:b/>
          <w:bCs/>
          <w:sz w:val="24"/>
          <w:u w:val="single"/>
        </w:rPr>
      </w:pPr>
      <w:r w:rsidRPr="00351C82">
        <w:rPr>
          <w:rFonts w:ascii="Arial" w:hAnsi="Arial" w:cs="Arial"/>
          <w:bCs/>
          <w:sz w:val="24"/>
        </w:rPr>
        <w:t>En el caso concreto, del análisis de la normatividad transcrita en párrafos anteriores, se concluye que</w:t>
      </w:r>
      <w:r>
        <w:rPr>
          <w:rFonts w:ascii="Arial" w:hAnsi="Arial" w:cs="Arial"/>
          <w:bCs/>
          <w:sz w:val="24"/>
        </w:rPr>
        <w:t xml:space="preserve">, contrario a lo señalado por el recurrente, el Municipio de San Luis Potosí, realizó las gestiones dentro de las áreas susceptibles de poseer la información, ya que si bien, a consideración de la persona recurrente se omitió gestionar la solicitud ante el Instituto Municipal de Planeación, éste último, en materia de transparencia y trámite de las solicitudes de información, es un sujeto obligado distinto, por lo que la petitoria, debe formularse a través de la Plataforma Nacional de Transparencia ante el Instituto Municipal de Planeación y no así, ante el Municipio de San Luis Potosí, conforme lo señalado </w:t>
      </w:r>
      <w:r w:rsidRPr="00351C82">
        <w:rPr>
          <w:rFonts w:ascii="Arial" w:hAnsi="Arial" w:cs="Arial"/>
          <w:bCs/>
          <w:sz w:val="24"/>
        </w:rPr>
        <w:t xml:space="preserve">en los artículos 18 y 19 de la Ley de Transparencia Local, </w:t>
      </w:r>
      <w:r>
        <w:rPr>
          <w:rFonts w:ascii="Arial" w:hAnsi="Arial" w:cs="Arial"/>
          <w:bCs/>
          <w:sz w:val="24"/>
        </w:rPr>
        <w:t xml:space="preserve">ya que, </w:t>
      </w:r>
      <w:r w:rsidRPr="00351C82">
        <w:rPr>
          <w:rFonts w:ascii="Arial" w:hAnsi="Arial" w:cs="Arial"/>
          <w:bCs/>
          <w:sz w:val="24"/>
        </w:rPr>
        <w:t xml:space="preserve">dentro de las facultades, competencias y funciones que los ordenamientos jurídicos aplicables le otorgan a dicha autoridad, </w:t>
      </w:r>
      <w:r w:rsidRPr="00351C82">
        <w:rPr>
          <w:rFonts w:ascii="Arial" w:hAnsi="Arial" w:cs="Arial"/>
          <w:b/>
          <w:bCs/>
          <w:sz w:val="24"/>
          <w:u w:val="single"/>
        </w:rPr>
        <w:t>el Sujeto Obligado susceptible de poseer la información requerida por la persona recurrente es</w:t>
      </w:r>
      <w:r>
        <w:rPr>
          <w:rFonts w:ascii="Arial" w:hAnsi="Arial" w:cs="Arial"/>
          <w:b/>
          <w:bCs/>
          <w:sz w:val="24"/>
          <w:u w:val="single"/>
        </w:rPr>
        <w:t xml:space="preserve"> el diverso sujeto obligado denominado </w:t>
      </w:r>
      <w:r w:rsidRPr="008E2F6A">
        <w:rPr>
          <w:rFonts w:ascii="Arial" w:hAnsi="Arial" w:cs="Arial"/>
          <w:b/>
          <w:bCs/>
          <w:sz w:val="24"/>
          <w:u w:val="single"/>
        </w:rPr>
        <w:t>Instituto Municipal de Planeación</w:t>
      </w:r>
      <w:r>
        <w:rPr>
          <w:rFonts w:ascii="Arial" w:hAnsi="Arial" w:cs="Arial"/>
          <w:b/>
          <w:bCs/>
          <w:sz w:val="24"/>
          <w:u w:val="single"/>
        </w:rPr>
        <w:t xml:space="preserve"> (IMPLAN). </w:t>
      </w:r>
    </w:p>
    <w:p w14:paraId="03112278" w14:textId="77777777" w:rsidR="005166C3" w:rsidRDefault="005166C3" w:rsidP="008E2F6A">
      <w:pPr>
        <w:autoSpaceDE w:val="0"/>
        <w:autoSpaceDN w:val="0"/>
        <w:adjustRightInd w:val="0"/>
        <w:spacing w:after="0" w:line="360" w:lineRule="auto"/>
        <w:ind w:firstLine="708"/>
        <w:jc w:val="both"/>
        <w:rPr>
          <w:rFonts w:ascii="Arial" w:hAnsi="Arial" w:cs="Arial"/>
          <w:b/>
          <w:bCs/>
          <w:sz w:val="24"/>
          <w:u w:val="single"/>
        </w:rPr>
      </w:pPr>
    </w:p>
    <w:p w14:paraId="1AE0FAD5" w14:textId="0EFC4350" w:rsidR="00953223" w:rsidRPr="00953223" w:rsidRDefault="005166C3" w:rsidP="00953223">
      <w:pPr>
        <w:autoSpaceDE w:val="0"/>
        <w:autoSpaceDN w:val="0"/>
        <w:adjustRightInd w:val="0"/>
        <w:spacing w:after="0" w:line="360" w:lineRule="auto"/>
        <w:ind w:firstLine="708"/>
        <w:jc w:val="both"/>
        <w:rPr>
          <w:rFonts w:ascii="Arial" w:hAnsi="Arial" w:cs="Arial"/>
          <w:sz w:val="24"/>
        </w:rPr>
      </w:pPr>
      <w:r>
        <w:rPr>
          <w:rFonts w:ascii="Arial" w:hAnsi="Arial" w:cs="Arial"/>
          <w:sz w:val="24"/>
        </w:rPr>
        <w:t>Por tanto, de conformidad con lo establecido en el artículo 153 de la Ley de Transparencia y Acceso a la Información Pública del Estado, en el caso concreto, se tiene que el Titular de la Unidad de Transparencia, gestionó y turnó la solicitud de información recepcionada, conforme las atribuciones conferidas por el ordenamiento leg</w:t>
      </w:r>
      <w:r w:rsidR="00953223">
        <w:rPr>
          <w:rFonts w:ascii="Arial" w:hAnsi="Arial" w:cs="Arial"/>
          <w:sz w:val="24"/>
        </w:rPr>
        <w:t>al que rige al sujeto obligado y en la presente instrucción aportó las ligas electrónicas en las que se puede consultar el p</w:t>
      </w:r>
      <w:r w:rsidR="00953223" w:rsidRPr="00953223">
        <w:rPr>
          <w:rFonts w:ascii="Arial" w:hAnsi="Arial" w:cs="Arial"/>
          <w:sz w:val="24"/>
        </w:rPr>
        <w:t>resupuesto de egresos, información financiera y cuenta pública</w:t>
      </w:r>
      <w:r w:rsidR="00953223">
        <w:rPr>
          <w:rFonts w:ascii="Arial" w:hAnsi="Arial" w:cs="Arial"/>
          <w:sz w:val="24"/>
        </w:rPr>
        <w:t>.</w:t>
      </w:r>
    </w:p>
    <w:p w14:paraId="50BC428D" w14:textId="73A2B97C" w:rsidR="00E36F11" w:rsidRDefault="00953223" w:rsidP="008E2F6A">
      <w:pPr>
        <w:autoSpaceDE w:val="0"/>
        <w:autoSpaceDN w:val="0"/>
        <w:adjustRightInd w:val="0"/>
        <w:spacing w:after="0" w:line="360" w:lineRule="auto"/>
        <w:ind w:firstLine="708"/>
        <w:jc w:val="both"/>
        <w:rPr>
          <w:rFonts w:ascii="Arial" w:hAnsi="Arial" w:cs="Arial"/>
          <w:sz w:val="24"/>
        </w:rPr>
      </w:pPr>
      <w:r>
        <w:rPr>
          <w:rFonts w:ascii="Arial" w:hAnsi="Arial" w:cs="Arial"/>
          <w:sz w:val="24"/>
        </w:rPr>
        <w:t xml:space="preserve"> </w:t>
      </w:r>
    </w:p>
    <w:p w14:paraId="6F8A7B07" w14:textId="1200093E" w:rsidR="008E2F6A" w:rsidRPr="00351C82" w:rsidRDefault="008E2F6A" w:rsidP="00A9283B">
      <w:pPr>
        <w:autoSpaceDE w:val="0"/>
        <w:autoSpaceDN w:val="0"/>
        <w:adjustRightInd w:val="0"/>
        <w:spacing w:after="0" w:line="360" w:lineRule="auto"/>
        <w:ind w:firstLine="708"/>
        <w:jc w:val="both"/>
        <w:rPr>
          <w:rFonts w:ascii="Arial" w:hAnsi="Arial" w:cs="Arial"/>
          <w:bCs/>
          <w:sz w:val="24"/>
        </w:rPr>
      </w:pPr>
      <w:r>
        <w:rPr>
          <w:rFonts w:ascii="Arial" w:hAnsi="Arial" w:cs="Arial"/>
          <w:bCs/>
          <w:sz w:val="24"/>
        </w:rPr>
        <w:t xml:space="preserve">De </w:t>
      </w:r>
      <w:r w:rsidR="004D5980">
        <w:rPr>
          <w:rFonts w:ascii="Arial" w:hAnsi="Arial" w:cs="Arial"/>
          <w:bCs/>
          <w:sz w:val="24"/>
        </w:rPr>
        <w:t xml:space="preserve">lo anterior, </w:t>
      </w:r>
      <w:r w:rsidR="00953223">
        <w:rPr>
          <w:rFonts w:ascii="Arial" w:hAnsi="Arial" w:cs="Arial"/>
          <w:bCs/>
          <w:sz w:val="24"/>
        </w:rPr>
        <w:t xml:space="preserve">quien resuelve arriba a la convicción de que, </w:t>
      </w:r>
      <w:r w:rsidRPr="00DB2E8C">
        <w:rPr>
          <w:rFonts w:ascii="Arial" w:hAnsi="Arial" w:cs="Arial"/>
          <w:bCs/>
          <w:sz w:val="24"/>
        </w:rPr>
        <w:t xml:space="preserve">el agravio esgrimido por la persona inconforme respecto a </w:t>
      </w:r>
      <w:r>
        <w:rPr>
          <w:rFonts w:ascii="Arial" w:hAnsi="Arial" w:cs="Arial"/>
          <w:bCs/>
          <w:sz w:val="24"/>
        </w:rPr>
        <w:t>la</w:t>
      </w:r>
      <w:r w:rsidR="00A9283B">
        <w:rPr>
          <w:rFonts w:ascii="Arial" w:hAnsi="Arial" w:cs="Arial"/>
          <w:bCs/>
          <w:sz w:val="24"/>
        </w:rPr>
        <w:t xml:space="preserve"> respuesta proporcionada por el Sujeto Obligado Municipio de San Luis Potosí,</w:t>
      </w:r>
      <w:r>
        <w:rPr>
          <w:rFonts w:ascii="Arial" w:hAnsi="Arial" w:cs="Arial"/>
          <w:bCs/>
          <w:sz w:val="24"/>
        </w:rPr>
        <w:t xml:space="preserve"> en relación a </w:t>
      </w:r>
      <w:r w:rsidRPr="00DB2E8C">
        <w:rPr>
          <w:rFonts w:ascii="Arial" w:hAnsi="Arial" w:cs="Arial"/>
          <w:bCs/>
          <w:sz w:val="24"/>
        </w:rPr>
        <w:t>la información</w:t>
      </w:r>
      <w:r>
        <w:rPr>
          <w:rFonts w:ascii="Arial" w:hAnsi="Arial" w:cs="Arial"/>
          <w:bCs/>
          <w:sz w:val="24"/>
        </w:rPr>
        <w:t xml:space="preserve"> solicitada,</w:t>
      </w:r>
      <w:r w:rsidRPr="00DB2E8C">
        <w:rPr>
          <w:rFonts w:ascii="Arial" w:hAnsi="Arial" w:cs="Arial"/>
          <w:bCs/>
          <w:sz w:val="24"/>
        </w:rPr>
        <w:t xml:space="preserve"> deviene </w:t>
      </w:r>
      <w:r>
        <w:rPr>
          <w:rFonts w:ascii="Arial" w:hAnsi="Arial" w:cs="Arial"/>
          <w:bCs/>
          <w:sz w:val="24"/>
        </w:rPr>
        <w:t xml:space="preserve">infundado, </w:t>
      </w:r>
      <w:r w:rsidR="00953223">
        <w:rPr>
          <w:rFonts w:ascii="Arial" w:hAnsi="Arial" w:cs="Arial"/>
          <w:bCs/>
          <w:sz w:val="24"/>
        </w:rPr>
        <w:t>puesto que la incompetencia aducida es correcta, ya que el Instituto Municipal de Planeación Municipal</w:t>
      </w:r>
      <w:r w:rsidR="00E10FF4">
        <w:rPr>
          <w:rFonts w:ascii="Arial" w:hAnsi="Arial" w:cs="Arial"/>
          <w:bCs/>
          <w:sz w:val="24"/>
        </w:rPr>
        <w:t>, confo</w:t>
      </w:r>
      <w:r w:rsidR="00953223">
        <w:rPr>
          <w:rFonts w:ascii="Arial" w:hAnsi="Arial" w:cs="Arial"/>
          <w:bCs/>
          <w:sz w:val="24"/>
        </w:rPr>
        <w:t xml:space="preserve">rme a sus competencias, atribuciones y funciones, es el Sujeto Obligado competente para atender su solicitud de información, </w:t>
      </w:r>
      <w:r w:rsidRPr="008641FD">
        <w:rPr>
          <w:rFonts w:ascii="Arial" w:eastAsia="Arial Unicode MS" w:hAnsi="Arial" w:cs="Arial"/>
          <w:bCs/>
          <w:sz w:val="24"/>
          <w:szCs w:val="24"/>
          <w:lang w:eastAsia="es-ES"/>
        </w:rPr>
        <w:t xml:space="preserve">por lo que </w:t>
      </w:r>
      <w:r w:rsidRPr="008641FD">
        <w:rPr>
          <w:rFonts w:ascii="Arial" w:eastAsia="Arial Unicode MS" w:hAnsi="Arial" w:cs="Arial"/>
          <w:bCs/>
          <w:sz w:val="24"/>
          <w:szCs w:val="24"/>
          <w:lang w:val="es-ES_tradnl" w:eastAsia="es-ES"/>
        </w:rPr>
        <w:t xml:space="preserve">resulta procedente </w:t>
      </w:r>
      <w:r w:rsidRPr="008641FD">
        <w:rPr>
          <w:rFonts w:ascii="Arial" w:eastAsia="Arial Unicode MS" w:hAnsi="Arial" w:cs="Arial"/>
          <w:b/>
          <w:bCs/>
          <w:i/>
          <w:sz w:val="24"/>
          <w:szCs w:val="24"/>
          <w:lang w:val="es-ES_tradnl" w:eastAsia="es-ES"/>
        </w:rPr>
        <w:t>confirmar</w:t>
      </w:r>
      <w:r w:rsidRPr="008641FD">
        <w:rPr>
          <w:rFonts w:ascii="Arial" w:eastAsia="Arial Unicode MS" w:hAnsi="Arial" w:cs="Arial"/>
          <w:bCs/>
          <w:sz w:val="24"/>
          <w:szCs w:val="24"/>
          <w:lang w:val="es-ES_tradnl" w:eastAsia="es-ES"/>
        </w:rPr>
        <w:t xml:space="preserve"> la respuesta que el Sujeto Obligado otorgó a la solicitud de acceso a la información pública presentada.</w:t>
      </w:r>
    </w:p>
    <w:p w14:paraId="2E9EAE42" w14:textId="77777777" w:rsidR="008E2F6A" w:rsidRPr="008641FD" w:rsidRDefault="008E2F6A" w:rsidP="008E2F6A">
      <w:pPr>
        <w:spacing w:after="0" w:line="360" w:lineRule="auto"/>
        <w:ind w:firstLine="708"/>
        <w:jc w:val="both"/>
        <w:rPr>
          <w:rFonts w:ascii="Arial" w:eastAsia="Arial Unicode MS" w:hAnsi="Arial" w:cs="Arial"/>
          <w:b/>
          <w:bCs/>
          <w:sz w:val="24"/>
          <w:szCs w:val="24"/>
          <w:lang w:eastAsia="es-ES"/>
        </w:rPr>
      </w:pPr>
    </w:p>
    <w:p w14:paraId="188FF76A" w14:textId="77777777" w:rsidR="008E2F6A" w:rsidRPr="009D7653" w:rsidRDefault="008E2F6A" w:rsidP="008E2F6A">
      <w:pPr>
        <w:autoSpaceDE w:val="0"/>
        <w:autoSpaceDN w:val="0"/>
        <w:adjustRightInd w:val="0"/>
        <w:spacing w:after="0" w:line="360" w:lineRule="auto"/>
        <w:ind w:firstLine="708"/>
        <w:jc w:val="both"/>
        <w:rPr>
          <w:rFonts w:ascii="Arial" w:hAnsi="Arial" w:cs="Arial"/>
          <w:sz w:val="24"/>
          <w:szCs w:val="24"/>
        </w:rPr>
      </w:pPr>
      <w:r>
        <w:rPr>
          <w:rFonts w:ascii="Arial" w:hAnsi="Arial" w:cs="Arial"/>
          <w:b/>
          <w:sz w:val="24"/>
          <w:szCs w:val="24"/>
        </w:rPr>
        <w:lastRenderedPageBreak/>
        <w:t>OCTAVO</w:t>
      </w:r>
      <w:r w:rsidRPr="009D7653">
        <w:rPr>
          <w:rFonts w:ascii="Arial" w:hAnsi="Arial" w:cs="Arial"/>
          <w:b/>
          <w:sz w:val="24"/>
          <w:szCs w:val="24"/>
        </w:rPr>
        <w:t>. Precisiones de esta resolución.</w:t>
      </w:r>
      <w:r w:rsidRPr="009D7653">
        <w:rPr>
          <w:rFonts w:ascii="Arial" w:hAnsi="Arial" w:cs="Arial"/>
          <w:sz w:val="24"/>
          <w:szCs w:val="24"/>
        </w:rPr>
        <w:t xml:space="preserve"> Por lo anteriormente expuesto, esta Comisión, con fundamento en lo dispuesto por el artículo 175 fracción II, de la Ley de Transparencia y Acceso a la Información Pública del Estado, se </w:t>
      </w:r>
      <w:r w:rsidRPr="009D7653">
        <w:rPr>
          <w:rFonts w:ascii="Arial" w:hAnsi="Arial" w:cs="Arial"/>
          <w:b/>
          <w:bCs/>
          <w:sz w:val="24"/>
          <w:szCs w:val="24"/>
        </w:rPr>
        <w:t>CONFIRMA</w:t>
      </w:r>
      <w:r w:rsidRPr="009D7653">
        <w:rPr>
          <w:rFonts w:ascii="Arial" w:hAnsi="Arial" w:cs="Arial"/>
          <w:b/>
          <w:sz w:val="24"/>
          <w:szCs w:val="24"/>
        </w:rPr>
        <w:t xml:space="preserve"> </w:t>
      </w:r>
      <w:r w:rsidRPr="009D7653">
        <w:rPr>
          <w:rFonts w:ascii="Arial" w:hAnsi="Arial" w:cs="Arial"/>
          <w:sz w:val="24"/>
          <w:szCs w:val="24"/>
        </w:rPr>
        <w:t xml:space="preserve">la respuesta proporcionada por el Sujeto Obligado. </w:t>
      </w:r>
    </w:p>
    <w:p w14:paraId="66136463" w14:textId="77777777" w:rsidR="008E2F6A" w:rsidRPr="009D7653" w:rsidRDefault="008E2F6A" w:rsidP="008E2F6A">
      <w:pPr>
        <w:spacing w:after="0" w:line="360" w:lineRule="auto"/>
        <w:ind w:firstLine="708"/>
        <w:jc w:val="both"/>
        <w:rPr>
          <w:rFonts w:ascii="Arial" w:hAnsi="Arial" w:cs="Arial"/>
          <w:sz w:val="24"/>
          <w:szCs w:val="24"/>
        </w:rPr>
      </w:pPr>
    </w:p>
    <w:p w14:paraId="10FF23BA"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b/>
          <w:sz w:val="24"/>
          <w:szCs w:val="24"/>
        </w:rPr>
        <w:tab/>
      </w:r>
      <w:r>
        <w:rPr>
          <w:rFonts w:ascii="Arial" w:hAnsi="Arial" w:cs="Arial"/>
          <w:b/>
          <w:sz w:val="24"/>
          <w:szCs w:val="24"/>
        </w:rPr>
        <w:t>8</w:t>
      </w:r>
      <w:r w:rsidRPr="009D7653">
        <w:rPr>
          <w:rFonts w:ascii="Arial" w:hAnsi="Arial" w:cs="Arial"/>
          <w:b/>
          <w:sz w:val="24"/>
          <w:szCs w:val="24"/>
        </w:rPr>
        <w:t xml:space="preserve">.1. Medio de impugnación. </w:t>
      </w:r>
      <w:r w:rsidRPr="00B86114">
        <w:rPr>
          <w:rFonts w:ascii="Arial" w:hAnsi="Arial" w:cs="Arial"/>
          <w:sz w:val="24"/>
          <w:szCs w:val="24"/>
        </w:rPr>
        <w:t>Se hace de conocimiento del Recurrente que</w:t>
      </w:r>
      <w:r>
        <w:rPr>
          <w:rFonts w:ascii="Arial" w:hAnsi="Arial" w:cs="Arial"/>
          <w:sz w:val="24"/>
          <w:szCs w:val="24"/>
        </w:rPr>
        <w:t>,</w:t>
      </w:r>
      <w:r w:rsidRPr="00B86114">
        <w:rPr>
          <w:rFonts w:ascii="Arial" w:hAnsi="Arial" w:cs="Arial"/>
          <w:sz w:val="24"/>
          <w:szCs w:val="24"/>
        </w:rPr>
        <w:t xml:space="preserve"> en caso de no estar de acuerdo con los términos de la resolución dictada por este Organismo Autónomo, podrá optar por acudir ante el Poder Judicial de la Federación</w:t>
      </w:r>
      <w:r>
        <w:rPr>
          <w:rFonts w:ascii="Arial" w:hAnsi="Arial" w:cs="Arial"/>
          <w:sz w:val="24"/>
          <w:szCs w:val="24"/>
        </w:rPr>
        <w:t>.</w:t>
      </w:r>
    </w:p>
    <w:p w14:paraId="270A506B" w14:textId="77777777" w:rsidR="008E2F6A" w:rsidRPr="009D7653" w:rsidRDefault="008E2F6A" w:rsidP="008E2F6A">
      <w:pPr>
        <w:spacing w:after="0" w:line="360" w:lineRule="auto"/>
        <w:jc w:val="both"/>
        <w:rPr>
          <w:rFonts w:ascii="Arial" w:hAnsi="Arial" w:cs="Arial"/>
          <w:sz w:val="24"/>
          <w:szCs w:val="24"/>
        </w:rPr>
      </w:pPr>
    </w:p>
    <w:p w14:paraId="51BBD50A"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8</w:t>
      </w:r>
      <w:r w:rsidRPr="009D7653">
        <w:rPr>
          <w:rFonts w:ascii="Arial" w:hAnsi="Arial" w:cs="Arial"/>
          <w:b/>
          <w:sz w:val="24"/>
          <w:szCs w:val="24"/>
        </w:rPr>
        <w:t xml:space="preserve">.2. Definitividad. </w:t>
      </w:r>
      <w:r w:rsidRPr="009D7653">
        <w:rPr>
          <w:rFonts w:ascii="Arial" w:hAnsi="Arial" w:cs="Arial"/>
          <w:sz w:val="24"/>
          <w:szCs w:val="24"/>
        </w:rPr>
        <w:t xml:space="preserve">En esta tesitura, se informa a la autoridad responsable que, con base en lo previsto en el numeral 181 de la Ley de la materia, las resoluciones emitidas por este Órgano Colegiado son vinculatorias, definitivas e inatacables para los Sujetos Obligados. </w:t>
      </w:r>
    </w:p>
    <w:p w14:paraId="2DE8B501"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sz w:val="24"/>
          <w:szCs w:val="24"/>
        </w:rPr>
        <w:tab/>
      </w:r>
    </w:p>
    <w:p w14:paraId="5374AF12" w14:textId="77777777" w:rsidR="008E2F6A" w:rsidRPr="009D7653" w:rsidRDefault="008E2F6A" w:rsidP="008E2F6A">
      <w:pPr>
        <w:spacing w:after="0" w:line="360" w:lineRule="auto"/>
        <w:jc w:val="both"/>
        <w:rPr>
          <w:rFonts w:ascii="Arial" w:hAnsi="Arial" w:cs="Arial"/>
          <w:sz w:val="24"/>
          <w:szCs w:val="24"/>
        </w:rPr>
      </w:pPr>
      <w:r w:rsidRPr="009D7653">
        <w:rPr>
          <w:rFonts w:ascii="Arial" w:hAnsi="Arial" w:cs="Arial"/>
          <w:sz w:val="24"/>
          <w:szCs w:val="24"/>
        </w:rPr>
        <w:tab/>
      </w:r>
      <w:r>
        <w:rPr>
          <w:rFonts w:ascii="Arial" w:hAnsi="Arial" w:cs="Arial"/>
          <w:b/>
          <w:sz w:val="24"/>
          <w:szCs w:val="24"/>
        </w:rPr>
        <w:t>8</w:t>
      </w:r>
      <w:r w:rsidRPr="009D7653">
        <w:rPr>
          <w:rFonts w:ascii="Arial" w:hAnsi="Arial" w:cs="Arial"/>
          <w:b/>
          <w:sz w:val="24"/>
          <w:szCs w:val="24"/>
        </w:rPr>
        <w:t xml:space="preserve">.3. Ejecutoría. </w:t>
      </w:r>
      <w:r w:rsidRPr="009D7653">
        <w:rPr>
          <w:rFonts w:ascii="Arial" w:hAnsi="Arial" w:cs="Arial"/>
          <w:sz w:val="24"/>
          <w:szCs w:val="24"/>
        </w:rPr>
        <w:t xml:space="preserve">Finalmente, se precisa que la presente resolución causa ejecutoría al día siguiente de su notificación; ello así conforme lo señalado en los numerales 148 de la Ley de Transparencia Local y el diverso 255 fracción III, del Código Procesal Administrativo para el Estado de San Luis Potosí, de aplicación supletoria. </w:t>
      </w:r>
    </w:p>
    <w:p w14:paraId="3E6D18DC" w14:textId="77777777" w:rsidR="008E2F6A" w:rsidRPr="009D7653" w:rsidRDefault="008E2F6A" w:rsidP="008E2F6A">
      <w:pPr>
        <w:spacing w:after="0" w:line="360" w:lineRule="auto"/>
        <w:jc w:val="both"/>
        <w:rPr>
          <w:rFonts w:ascii="Arial" w:hAnsi="Arial" w:cs="Arial"/>
          <w:sz w:val="24"/>
          <w:szCs w:val="24"/>
        </w:rPr>
      </w:pPr>
    </w:p>
    <w:p w14:paraId="7A5F8929" w14:textId="77777777" w:rsidR="008E2F6A" w:rsidRPr="005A41A3" w:rsidRDefault="008E2F6A" w:rsidP="008E2F6A">
      <w:pPr>
        <w:spacing w:after="0" w:line="360" w:lineRule="auto"/>
        <w:jc w:val="both"/>
        <w:rPr>
          <w:rFonts w:ascii="Arial" w:hAnsi="Arial" w:cs="Arial"/>
          <w:b/>
          <w:sz w:val="24"/>
          <w:szCs w:val="24"/>
          <w:u w:val="single"/>
        </w:rPr>
      </w:pPr>
      <w:r w:rsidRPr="005A41A3">
        <w:rPr>
          <w:rFonts w:ascii="Arial" w:hAnsi="Arial" w:cs="Arial"/>
          <w:sz w:val="24"/>
          <w:szCs w:val="24"/>
        </w:rPr>
        <w:tab/>
      </w:r>
      <w:r>
        <w:rPr>
          <w:rFonts w:ascii="Arial" w:hAnsi="Arial" w:cs="Arial"/>
          <w:b/>
          <w:sz w:val="24"/>
          <w:szCs w:val="24"/>
        </w:rPr>
        <w:t>8</w:t>
      </w:r>
      <w:r w:rsidRPr="005A41A3">
        <w:rPr>
          <w:rFonts w:ascii="Arial" w:hAnsi="Arial" w:cs="Arial"/>
          <w:b/>
          <w:sz w:val="24"/>
          <w:szCs w:val="24"/>
        </w:rPr>
        <w:t xml:space="preserve">.4. Archivo. </w:t>
      </w:r>
      <w:r w:rsidRPr="005A41A3">
        <w:rPr>
          <w:rFonts w:ascii="Arial" w:hAnsi="Arial" w:cs="Arial"/>
          <w:sz w:val="24"/>
          <w:szCs w:val="24"/>
        </w:rPr>
        <w:t xml:space="preserve">Una vez que el presente asunto cause estado, con fundamento en los artículos 2 fracción XII y 9 de los Lineamientos para la Gestión de Archivos Administrativos y Resguardo de la Información Pública del Estado de San Luis Potosí, emitidos por esta Comisión, </w:t>
      </w:r>
      <w:r w:rsidRPr="005A41A3">
        <w:rPr>
          <w:rFonts w:ascii="Arial" w:hAnsi="Arial" w:cs="Arial"/>
          <w:b/>
          <w:sz w:val="24"/>
          <w:szCs w:val="24"/>
          <w:u w:val="single"/>
        </w:rPr>
        <w:t>remítase el presente asunto al Archivo de Concentración de este Órgano Garante, como asunto concluido.</w:t>
      </w:r>
    </w:p>
    <w:p w14:paraId="3E1DD08C" w14:textId="77777777" w:rsidR="008E2F6A" w:rsidRPr="005A41A3" w:rsidRDefault="008E2F6A" w:rsidP="008E2F6A">
      <w:pPr>
        <w:rPr>
          <w:sz w:val="24"/>
          <w:szCs w:val="24"/>
        </w:rPr>
      </w:pPr>
    </w:p>
    <w:p w14:paraId="18D65F02" w14:textId="77777777" w:rsidR="008E2F6A" w:rsidRPr="005A41A3" w:rsidRDefault="008E2F6A" w:rsidP="008E2F6A">
      <w:pPr>
        <w:spacing w:after="0" w:line="360" w:lineRule="auto"/>
        <w:rPr>
          <w:rFonts w:ascii="Arial" w:hAnsi="Arial" w:cs="Arial"/>
          <w:sz w:val="24"/>
          <w:szCs w:val="24"/>
        </w:rPr>
      </w:pPr>
      <w:r w:rsidRPr="005A41A3">
        <w:rPr>
          <w:rFonts w:ascii="Arial" w:hAnsi="Arial" w:cs="Arial"/>
          <w:sz w:val="24"/>
          <w:szCs w:val="24"/>
        </w:rPr>
        <w:tab/>
        <w:t xml:space="preserve">Por lo anteriormente expuesto y fundado, este Pleno: </w:t>
      </w:r>
    </w:p>
    <w:p w14:paraId="73078286" w14:textId="77777777" w:rsidR="008E2F6A" w:rsidRPr="005A41A3" w:rsidRDefault="008E2F6A" w:rsidP="008E2F6A">
      <w:pPr>
        <w:autoSpaceDE w:val="0"/>
        <w:autoSpaceDN w:val="0"/>
        <w:adjustRightInd w:val="0"/>
        <w:spacing w:after="0" w:line="360" w:lineRule="auto"/>
        <w:ind w:firstLine="709"/>
        <w:jc w:val="both"/>
        <w:rPr>
          <w:rFonts w:ascii="Arial" w:hAnsi="Arial" w:cs="Arial"/>
          <w:sz w:val="24"/>
          <w:szCs w:val="24"/>
        </w:rPr>
      </w:pPr>
    </w:p>
    <w:p w14:paraId="022754BB" w14:textId="77777777" w:rsidR="008E2F6A" w:rsidRDefault="008E2F6A" w:rsidP="008E2F6A">
      <w:pPr>
        <w:autoSpaceDE w:val="0"/>
        <w:autoSpaceDN w:val="0"/>
        <w:adjustRightInd w:val="0"/>
        <w:spacing w:after="0" w:line="360" w:lineRule="auto"/>
        <w:ind w:firstLine="709"/>
        <w:jc w:val="center"/>
        <w:rPr>
          <w:rFonts w:ascii="Arial" w:hAnsi="Arial" w:cs="Arial"/>
          <w:b/>
          <w:sz w:val="24"/>
          <w:szCs w:val="24"/>
        </w:rPr>
      </w:pPr>
      <w:r>
        <w:rPr>
          <w:rFonts w:ascii="Arial" w:hAnsi="Arial" w:cs="Arial"/>
          <w:b/>
          <w:sz w:val="24"/>
          <w:szCs w:val="24"/>
        </w:rPr>
        <w:t>RESUELVE:</w:t>
      </w:r>
    </w:p>
    <w:p w14:paraId="39EA3BC3" w14:textId="77777777" w:rsidR="008E2F6A" w:rsidRDefault="008E2F6A" w:rsidP="008E2F6A">
      <w:pPr>
        <w:autoSpaceDE w:val="0"/>
        <w:autoSpaceDN w:val="0"/>
        <w:adjustRightInd w:val="0"/>
        <w:spacing w:after="0" w:line="360" w:lineRule="auto"/>
        <w:ind w:firstLine="709"/>
        <w:jc w:val="center"/>
        <w:rPr>
          <w:rFonts w:ascii="Arial" w:hAnsi="Arial" w:cs="Arial"/>
          <w:b/>
          <w:sz w:val="24"/>
          <w:szCs w:val="24"/>
        </w:rPr>
      </w:pPr>
    </w:p>
    <w:p w14:paraId="6A0379A9" w14:textId="77777777" w:rsidR="008E2F6A" w:rsidRPr="0088042B" w:rsidRDefault="008E2F6A" w:rsidP="008E2F6A">
      <w:pPr>
        <w:autoSpaceDE w:val="0"/>
        <w:autoSpaceDN w:val="0"/>
        <w:adjustRightInd w:val="0"/>
        <w:spacing w:after="0" w:line="360" w:lineRule="auto"/>
        <w:ind w:firstLine="709"/>
        <w:jc w:val="both"/>
        <w:rPr>
          <w:rFonts w:ascii="Arial" w:hAnsi="Arial" w:cs="Arial"/>
          <w:b/>
          <w:sz w:val="24"/>
          <w:szCs w:val="24"/>
        </w:rPr>
      </w:pPr>
      <w:r w:rsidRPr="0088042B">
        <w:rPr>
          <w:rFonts w:ascii="Arial" w:hAnsi="Arial" w:cs="Arial"/>
          <w:b/>
          <w:sz w:val="24"/>
          <w:szCs w:val="24"/>
        </w:rPr>
        <w:t xml:space="preserve">ÚNICO. </w:t>
      </w:r>
      <w:r w:rsidRPr="0088042B">
        <w:rPr>
          <w:rFonts w:ascii="Arial" w:hAnsi="Arial" w:cs="Arial"/>
          <w:sz w:val="24"/>
          <w:szCs w:val="24"/>
        </w:rPr>
        <w:t xml:space="preserve">Es </w:t>
      </w:r>
      <w:r w:rsidRPr="0074223C">
        <w:rPr>
          <w:rFonts w:ascii="Arial" w:hAnsi="Arial" w:cs="Arial"/>
          <w:b/>
          <w:sz w:val="24"/>
          <w:szCs w:val="24"/>
        </w:rPr>
        <w:t>INFUNDADO</w:t>
      </w:r>
      <w:r w:rsidRPr="0088042B">
        <w:rPr>
          <w:rFonts w:ascii="Arial" w:hAnsi="Arial" w:cs="Arial"/>
          <w:sz w:val="24"/>
          <w:szCs w:val="24"/>
        </w:rPr>
        <w:t xml:space="preserve"> el motivo de inconformidad hecho valer por la parte Recurrente, por ende, en términos de los argumentos señalados en el </w:t>
      </w:r>
      <w:r w:rsidRPr="0088042B">
        <w:rPr>
          <w:rFonts w:ascii="Arial" w:hAnsi="Arial" w:cs="Arial"/>
          <w:sz w:val="24"/>
          <w:szCs w:val="24"/>
        </w:rPr>
        <w:lastRenderedPageBreak/>
        <w:t xml:space="preserve">considerando </w:t>
      </w:r>
      <w:r>
        <w:rPr>
          <w:rFonts w:ascii="Arial" w:hAnsi="Arial" w:cs="Arial"/>
          <w:b/>
          <w:sz w:val="24"/>
          <w:szCs w:val="24"/>
        </w:rPr>
        <w:t>SÉPTIMO</w:t>
      </w:r>
      <w:r w:rsidRPr="0088042B">
        <w:rPr>
          <w:rFonts w:ascii="Arial" w:hAnsi="Arial" w:cs="Arial"/>
          <w:sz w:val="24"/>
          <w:szCs w:val="24"/>
        </w:rPr>
        <w:t xml:space="preserve"> de la presente resolución, se </w:t>
      </w:r>
      <w:r w:rsidRPr="0074223C">
        <w:rPr>
          <w:rFonts w:ascii="Arial" w:hAnsi="Arial" w:cs="Arial"/>
          <w:b/>
          <w:sz w:val="24"/>
          <w:szCs w:val="24"/>
        </w:rPr>
        <w:t>CONFIRMA</w:t>
      </w:r>
      <w:r w:rsidRPr="0088042B">
        <w:rPr>
          <w:rFonts w:ascii="Arial" w:hAnsi="Arial" w:cs="Arial"/>
          <w:sz w:val="24"/>
          <w:szCs w:val="24"/>
        </w:rPr>
        <w:t xml:space="preserve"> la respuesta del Sujeto Obligado.</w:t>
      </w:r>
    </w:p>
    <w:p w14:paraId="225F46BA" w14:textId="77777777" w:rsidR="008E2F6A" w:rsidRDefault="008E2F6A" w:rsidP="008E2F6A">
      <w:pPr>
        <w:autoSpaceDE w:val="0"/>
        <w:autoSpaceDN w:val="0"/>
        <w:adjustRightInd w:val="0"/>
        <w:spacing w:after="0" w:line="360" w:lineRule="auto"/>
        <w:ind w:firstLine="709"/>
        <w:jc w:val="both"/>
        <w:rPr>
          <w:rFonts w:ascii="Arial" w:hAnsi="Arial" w:cs="Arial"/>
          <w:b/>
          <w:sz w:val="24"/>
          <w:szCs w:val="24"/>
        </w:rPr>
      </w:pPr>
    </w:p>
    <w:p w14:paraId="3C290A7D" w14:textId="77777777" w:rsidR="008E2F6A" w:rsidRDefault="008E2F6A" w:rsidP="008E2F6A">
      <w:pPr>
        <w:autoSpaceDE w:val="0"/>
        <w:autoSpaceDN w:val="0"/>
        <w:adjustRightInd w:val="0"/>
        <w:spacing w:after="0" w:line="360" w:lineRule="auto"/>
        <w:ind w:firstLine="709"/>
        <w:jc w:val="both"/>
        <w:rPr>
          <w:rFonts w:ascii="Arial" w:hAnsi="Arial" w:cs="Arial"/>
          <w:sz w:val="24"/>
          <w:szCs w:val="24"/>
        </w:rPr>
      </w:pPr>
      <w:r>
        <w:rPr>
          <w:rFonts w:ascii="Arial" w:hAnsi="Arial" w:cs="Arial"/>
          <w:b/>
          <w:bCs/>
          <w:sz w:val="24"/>
          <w:szCs w:val="24"/>
        </w:rPr>
        <w:t>Notifíquese</w:t>
      </w:r>
      <w:r>
        <w:rPr>
          <w:rFonts w:ascii="Arial" w:hAnsi="Arial" w:cs="Arial"/>
          <w:sz w:val="24"/>
          <w:szCs w:val="24"/>
        </w:rPr>
        <w:t>; por oficio al Sujeto Obligado y, al recurrente por el medio que designó.</w:t>
      </w:r>
    </w:p>
    <w:p w14:paraId="264605D1" w14:textId="77777777" w:rsidR="008E2F6A" w:rsidRDefault="008E2F6A" w:rsidP="007D759F">
      <w:pPr>
        <w:spacing w:after="0" w:line="360" w:lineRule="auto"/>
        <w:ind w:firstLine="709"/>
        <w:jc w:val="both"/>
        <w:rPr>
          <w:rFonts w:ascii="Arial" w:eastAsia="Arial Unicode MS" w:hAnsi="Arial" w:cs="Arial"/>
          <w:sz w:val="24"/>
          <w:szCs w:val="24"/>
          <w:lang w:eastAsia="es-ES"/>
        </w:rPr>
      </w:pPr>
    </w:p>
    <w:p w14:paraId="4849D5D9" w14:textId="5B14AB0C" w:rsidR="00ED099F" w:rsidRDefault="006C3BD5" w:rsidP="00ED099F">
      <w:pPr>
        <w:spacing w:after="0" w:line="360" w:lineRule="auto"/>
        <w:jc w:val="both"/>
        <w:rPr>
          <w:rFonts w:ascii="Arial" w:hAnsi="Arial" w:cs="Arial"/>
          <w:sz w:val="24"/>
        </w:rPr>
      </w:pPr>
      <w:r w:rsidRPr="00B86114">
        <w:rPr>
          <w:rFonts w:ascii="Arial" w:hAnsi="Arial" w:cs="Arial"/>
          <w:sz w:val="24"/>
          <w:szCs w:val="24"/>
        </w:rPr>
        <w:tab/>
      </w:r>
      <w:r w:rsidRPr="00DF0231">
        <w:rPr>
          <w:rFonts w:ascii="Arial" w:hAnsi="Arial" w:cs="Arial"/>
          <w:sz w:val="24"/>
        </w:rPr>
        <w:t xml:space="preserve">Así lo resuelve, por </w:t>
      </w:r>
      <w:r>
        <w:rPr>
          <w:rFonts w:ascii="Arial" w:hAnsi="Arial" w:cs="Arial"/>
          <w:sz w:val="24"/>
        </w:rPr>
        <w:t>mayoría</w:t>
      </w:r>
      <w:r w:rsidRPr="00DF0231">
        <w:rPr>
          <w:rFonts w:ascii="Arial" w:hAnsi="Arial" w:cs="Arial"/>
          <w:sz w:val="24"/>
        </w:rPr>
        <w:t xml:space="preserve"> de votos, el Pleno de la Comisión Estatal de Garantía de Acceso a la Información Pública, conformado por los Comisionados </w:t>
      </w:r>
      <w:r>
        <w:rPr>
          <w:rFonts w:ascii="Arial" w:hAnsi="Arial" w:cs="Arial"/>
          <w:sz w:val="24"/>
        </w:rPr>
        <w:t xml:space="preserve">José Gerardo Navarro Alviso </w:t>
      </w:r>
      <w:r w:rsidRPr="00DF0231">
        <w:rPr>
          <w:rFonts w:ascii="Arial" w:hAnsi="Arial" w:cs="Arial"/>
          <w:sz w:val="24"/>
        </w:rPr>
        <w:t xml:space="preserve">y Ana Cristina García Nales, siendo ponente </w:t>
      </w:r>
      <w:r>
        <w:rPr>
          <w:rFonts w:ascii="Arial" w:hAnsi="Arial" w:cs="Arial"/>
          <w:sz w:val="24"/>
        </w:rPr>
        <w:t>la última de los nombrados, en la Sesión Ordi</w:t>
      </w:r>
      <w:r w:rsidRPr="00DF0231">
        <w:rPr>
          <w:rFonts w:ascii="Arial" w:hAnsi="Arial" w:cs="Arial"/>
          <w:sz w:val="24"/>
        </w:rPr>
        <w:t xml:space="preserve">naria celebrada el </w:t>
      </w:r>
      <w:r w:rsidR="00ED099F">
        <w:rPr>
          <w:rFonts w:ascii="Arial" w:hAnsi="Arial" w:cs="Arial"/>
          <w:sz w:val="24"/>
        </w:rPr>
        <w:t xml:space="preserve">08 ocho de </w:t>
      </w:r>
      <w:r w:rsidR="00E10FF4">
        <w:rPr>
          <w:rFonts w:ascii="Arial" w:hAnsi="Arial" w:cs="Arial"/>
          <w:sz w:val="24"/>
        </w:rPr>
        <w:t xml:space="preserve">octubre </w:t>
      </w:r>
      <w:r w:rsidR="006D5F42">
        <w:rPr>
          <w:rFonts w:ascii="Arial" w:hAnsi="Arial" w:cs="Arial"/>
          <w:sz w:val="24"/>
        </w:rPr>
        <w:t>de 2026 dos mil veintiséis</w:t>
      </w:r>
      <w:r w:rsidRPr="00DF0231">
        <w:rPr>
          <w:rFonts w:ascii="Arial" w:hAnsi="Arial" w:cs="Arial"/>
          <w:sz w:val="24"/>
        </w:rPr>
        <w:t xml:space="preserve">, ante </w:t>
      </w:r>
      <w:r w:rsidR="005C177F">
        <w:rPr>
          <w:rFonts w:ascii="Arial" w:hAnsi="Arial" w:cs="Arial"/>
          <w:sz w:val="24"/>
        </w:rPr>
        <w:t>e</w:t>
      </w:r>
      <w:r w:rsidRPr="00DF0231">
        <w:rPr>
          <w:rFonts w:ascii="Arial" w:hAnsi="Arial" w:cs="Arial"/>
          <w:sz w:val="24"/>
        </w:rPr>
        <w:t>l Secretari</w:t>
      </w:r>
      <w:r w:rsidR="005C177F">
        <w:rPr>
          <w:rFonts w:ascii="Arial" w:hAnsi="Arial" w:cs="Arial"/>
          <w:sz w:val="24"/>
        </w:rPr>
        <w:t>o</w:t>
      </w:r>
      <w:r w:rsidRPr="00DF0231">
        <w:rPr>
          <w:rFonts w:ascii="Arial" w:hAnsi="Arial" w:cs="Arial"/>
          <w:sz w:val="24"/>
        </w:rPr>
        <w:t xml:space="preserve"> de Pleno</w:t>
      </w:r>
      <w:r>
        <w:rPr>
          <w:rFonts w:ascii="Arial" w:hAnsi="Arial" w:cs="Arial"/>
          <w:sz w:val="24"/>
        </w:rPr>
        <w:t xml:space="preserve">, </w:t>
      </w:r>
      <w:r w:rsidR="005C177F">
        <w:rPr>
          <w:rFonts w:ascii="Arial" w:hAnsi="Arial" w:cs="Arial"/>
          <w:sz w:val="24"/>
        </w:rPr>
        <w:t>Omar Alejandro Velázquez Hernández</w:t>
      </w:r>
      <w:r>
        <w:rPr>
          <w:rFonts w:ascii="Arial" w:hAnsi="Arial" w:cs="Arial"/>
          <w:sz w:val="24"/>
        </w:rPr>
        <w:t>, quién da fé.</w:t>
      </w:r>
      <w:r w:rsidR="00BD4586">
        <w:rPr>
          <w:rFonts w:ascii="Arial" w:hAnsi="Arial" w:cs="Arial"/>
          <w:sz w:val="24"/>
        </w:rPr>
        <w:t xml:space="preserve"> </w:t>
      </w:r>
    </w:p>
    <w:p w14:paraId="05420DB4" w14:textId="32E5A28C" w:rsidR="00E10FF4" w:rsidRPr="00DA5FDB" w:rsidRDefault="00E10FF4" w:rsidP="00E10FF4">
      <w:pPr>
        <w:spacing w:after="0" w:line="360" w:lineRule="auto"/>
        <w:jc w:val="both"/>
        <w:rPr>
          <w:rFonts w:ascii="Arial" w:hAnsi="Arial" w:cs="Arial"/>
          <w:i/>
          <w:sz w:val="24"/>
        </w:rPr>
      </w:pPr>
    </w:p>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1"/>
        <w:gridCol w:w="4272"/>
      </w:tblGrid>
      <w:tr w:rsidR="00E10FF4" w14:paraId="23498F08" w14:textId="77777777" w:rsidTr="00557560">
        <w:tc>
          <w:tcPr>
            <w:tcW w:w="4561" w:type="dxa"/>
          </w:tcPr>
          <w:p w14:paraId="52146019" w14:textId="77777777" w:rsidR="00E10FF4" w:rsidRPr="00DF0231" w:rsidRDefault="00E10FF4" w:rsidP="00557560">
            <w:pPr>
              <w:jc w:val="center"/>
              <w:rPr>
                <w:rFonts w:ascii="Arial" w:hAnsi="Arial" w:cs="Arial"/>
                <w:b/>
                <w:sz w:val="24"/>
              </w:rPr>
            </w:pPr>
            <w:r w:rsidRPr="00DF0231">
              <w:rPr>
                <w:rFonts w:ascii="Arial" w:hAnsi="Arial" w:cs="Arial"/>
                <w:b/>
                <w:sz w:val="24"/>
              </w:rPr>
              <w:t>COMISIONADO PRESIDENTE</w:t>
            </w:r>
          </w:p>
          <w:p w14:paraId="72B77147" w14:textId="77777777" w:rsidR="00E10FF4" w:rsidRPr="00DF0231" w:rsidRDefault="00E10FF4" w:rsidP="00557560">
            <w:pPr>
              <w:jc w:val="center"/>
              <w:rPr>
                <w:rFonts w:ascii="Arial" w:hAnsi="Arial" w:cs="Arial"/>
                <w:b/>
                <w:sz w:val="24"/>
              </w:rPr>
            </w:pPr>
          </w:p>
          <w:p w14:paraId="0281949A" w14:textId="77777777" w:rsidR="00E10FF4" w:rsidRDefault="00E10FF4" w:rsidP="00557560">
            <w:pPr>
              <w:ind w:left="360"/>
              <w:jc w:val="center"/>
              <w:rPr>
                <w:rFonts w:ascii="Arial" w:hAnsi="Arial" w:cs="Arial"/>
                <w:b/>
                <w:sz w:val="24"/>
              </w:rPr>
            </w:pPr>
          </w:p>
          <w:p w14:paraId="402E8953" w14:textId="77777777" w:rsidR="00E10FF4" w:rsidRDefault="00E10FF4" w:rsidP="00557560">
            <w:pPr>
              <w:ind w:left="360"/>
              <w:jc w:val="center"/>
              <w:rPr>
                <w:rFonts w:ascii="Arial" w:hAnsi="Arial" w:cs="Arial"/>
                <w:b/>
                <w:sz w:val="24"/>
              </w:rPr>
            </w:pPr>
          </w:p>
          <w:p w14:paraId="54570387" w14:textId="77777777" w:rsidR="00E10FF4" w:rsidRDefault="00E10FF4" w:rsidP="00557560">
            <w:pPr>
              <w:ind w:left="360"/>
              <w:jc w:val="center"/>
              <w:rPr>
                <w:rFonts w:ascii="Arial" w:hAnsi="Arial" w:cs="Arial"/>
                <w:b/>
                <w:sz w:val="24"/>
              </w:rPr>
            </w:pPr>
          </w:p>
          <w:p w14:paraId="292F42BD" w14:textId="77777777" w:rsidR="00E10FF4" w:rsidRPr="00DF0231" w:rsidRDefault="00E10FF4" w:rsidP="00557560">
            <w:pPr>
              <w:ind w:left="360"/>
              <w:jc w:val="center"/>
              <w:rPr>
                <w:rFonts w:ascii="Arial" w:hAnsi="Arial" w:cs="Arial"/>
                <w:b/>
                <w:sz w:val="24"/>
              </w:rPr>
            </w:pPr>
          </w:p>
          <w:p w14:paraId="15200755" w14:textId="77777777" w:rsidR="00E10FF4" w:rsidRDefault="00E10FF4" w:rsidP="00557560">
            <w:pPr>
              <w:spacing w:line="360" w:lineRule="auto"/>
              <w:jc w:val="center"/>
              <w:rPr>
                <w:rFonts w:ascii="Arial" w:hAnsi="Arial" w:cs="Arial"/>
                <w:sz w:val="24"/>
              </w:rPr>
            </w:pPr>
            <w:r>
              <w:rPr>
                <w:rFonts w:ascii="Arial" w:hAnsi="Arial" w:cs="Arial"/>
                <w:b/>
                <w:sz w:val="24"/>
              </w:rPr>
              <w:t>JOSÉ GERARDO NAVARRO ALVISO</w:t>
            </w:r>
          </w:p>
        </w:tc>
        <w:tc>
          <w:tcPr>
            <w:tcW w:w="4272" w:type="dxa"/>
          </w:tcPr>
          <w:p w14:paraId="08C603FA" w14:textId="77777777" w:rsidR="00E10FF4" w:rsidRPr="00DF0231" w:rsidRDefault="00E10FF4" w:rsidP="00557560">
            <w:pPr>
              <w:jc w:val="center"/>
              <w:rPr>
                <w:rFonts w:ascii="Arial" w:hAnsi="Arial" w:cs="Arial"/>
                <w:b/>
                <w:sz w:val="24"/>
              </w:rPr>
            </w:pPr>
            <w:r>
              <w:rPr>
                <w:rFonts w:ascii="Arial" w:hAnsi="Arial" w:cs="Arial"/>
                <w:b/>
                <w:sz w:val="24"/>
              </w:rPr>
              <w:t>COMISIONADA</w:t>
            </w:r>
          </w:p>
          <w:p w14:paraId="2F9334DC" w14:textId="77777777" w:rsidR="00E10FF4" w:rsidRPr="00DF0231" w:rsidRDefault="00E10FF4" w:rsidP="00557560">
            <w:pPr>
              <w:jc w:val="center"/>
              <w:rPr>
                <w:rFonts w:ascii="Arial" w:hAnsi="Arial" w:cs="Arial"/>
                <w:b/>
                <w:sz w:val="24"/>
              </w:rPr>
            </w:pPr>
          </w:p>
          <w:p w14:paraId="3D5FA7C0" w14:textId="77777777" w:rsidR="00E10FF4" w:rsidRDefault="00E10FF4" w:rsidP="00557560">
            <w:pPr>
              <w:jc w:val="center"/>
              <w:rPr>
                <w:rFonts w:ascii="Arial" w:hAnsi="Arial" w:cs="Arial"/>
                <w:b/>
                <w:sz w:val="24"/>
              </w:rPr>
            </w:pPr>
          </w:p>
          <w:p w14:paraId="19B343B3" w14:textId="77777777" w:rsidR="00E10FF4" w:rsidRDefault="00E10FF4" w:rsidP="00557560">
            <w:pPr>
              <w:jc w:val="center"/>
              <w:rPr>
                <w:rFonts w:ascii="Arial" w:hAnsi="Arial" w:cs="Arial"/>
                <w:b/>
                <w:sz w:val="24"/>
              </w:rPr>
            </w:pPr>
          </w:p>
          <w:p w14:paraId="0D38E06E" w14:textId="77777777" w:rsidR="00E10FF4" w:rsidRDefault="00E10FF4" w:rsidP="00557560">
            <w:pPr>
              <w:jc w:val="center"/>
              <w:rPr>
                <w:rFonts w:ascii="Arial" w:hAnsi="Arial" w:cs="Arial"/>
                <w:b/>
                <w:sz w:val="24"/>
              </w:rPr>
            </w:pPr>
          </w:p>
          <w:p w14:paraId="5A068A7D" w14:textId="77777777" w:rsidR="00E10FF4" w:rsidRPr="00DF0231" w:rsidRDefault="00E10FF4" w:rsidP="00557560">
            <w:pPr>
              <w:jc w:val="center"/>
              <w:rPr>
                <w:rFonts w:ascii="Arial" w:hAnsi="Arial" w:cs="Arial"/>
                <w:b/>
                <w:sz w:val="24"/>
              </w:rPr>
            </w:pPr>
          </w:p>
          <w:p w14:paraId="47FBD5E5" w14:textId="77777777" w:rsidR="00E10FF4" w:rsidRDefault="00E10FF4" w:rsidP="00557560">
            <w:pPr>
              <w:spacing w:line="360" w:lineRule="auto"/>
              <w:jc w:val="center"/>
              <w:rPr>
                <w:rFonts w:ascii="Arial" w:hAnsi="Arial" w:cs="Arial"/>
                <w:sz w:val="24"/>
              </w:rPr>
            </w:pPr>
            <w:r w:rsidRPr="00DF0231">
              <w:rPr>
                <w:rFonts w:ascii="Arial" w:hAnsi="Arial" w:cs="Arial"/>
                <w:b/>
                <w:sz w:val="24"/>
              </w:rPr>
              <w:t>ANA CRISTINA GARCÍA NALES</w:t>
            </w:r>
          </w:p>
        </w:tc>
      </w:tr>
      <w:tr w:rsidR="00E10FF4" w14:paraId="22BE7D5F" w14:textId="77777777" w:rsidTr="00557560">
        <w:trPr>
          <w:trHeight w:val="1791"/>
        </w:trPr>
        <w:tc>
          <w:tcPr>
            <w:tcW w:w="8833" w:type="dxa"/>
            <w:gridSpan w:val="2"/>
          </w:tcPr>
          <w:p w14:paraId="5800DB67" w14:textId="77777777" w:rsidR="00E10FF4" w:rsidRDefault="00E10FF4" w:rsidP="00557560">
            <w:pPr>
              <w:ind w:left="360" w:firstLine="2"/>
              <w:rPr>
                <w:rFonts w:ascii="Arial" w:hAnsi="Arial" w:cs="Arial"/>
                <w:b/>
                <w:sz w:val="24"/>
              </w:rPr>
            </w:pPr>
            <w:r>
              <w:rPr>
                <w:rFonts w:ascii="Arial" w:hAnsi="Arial" w:cs="Arial"/>
                <w:b/>
                <w:sz w:val="24"/>
              </w:rPr>
              <w:t xml:space="preserve">                                    </w:t>
            </w:r>
          </w:p>
          <w:p w14:paraId="33EDF2C8" w14:textId="781CC714" w:rsidR="00E10FF4" w:rsidRPr="00DF0231" w:rsidRDefault="00E10FF4" w:rsidP="00557560">
            <w:pPr>
              <w:ind w:left="360" w:firstLine="2"/>
              <w:rPr>
                <w:rFonts w:ascii="Arial" w:hAnsi="Arial" w:cs="Arial"/>
                <w:b/>
                <w:sz w:val="24"/>
              </w:rPr>
            </w:pPr>
            <w:r>
              <w:rPr>
                <w:rFonts w:ascii="Arial" w:hAnsi="Arial" w:cs="Arial"/>
                <w:b/>
                <w:sz w:val="24"/>
              </w:rPr>
              <w:t xml:space="preserve">                                   </w:t>
            </w:r>
            <w:r w:rsidRPr="00DF0231">
              <w:rPr>
                <w:rFonts w:ascii="Arial" w:hAnsi="Arial" w:cs="Arial"/>
                <w:b/>
                <w:sz w:val="24"/>
              </w:rPr>
              <w:t>SECRETARI</w:t>
            </w:r>
            <w:r w:rsidR="005C177F">
              <w:rPr>
                <w:rFonts w:ascii="Arial" w:hAnsi="Arial" w:cs="Arial"/>
                <w:b/>
                <w:sz w:val="24"/>
              </w:rPr>
              <w:t>O</w:t>
            </w:r>
            <w:bookmarkStart w:id="3" w:name="_GoBack"/>
            <w:bookmarkEnd w:id="3"/>
            <w:r w:rsidRPr="00DF0231">
              <w:rPr>
                <w:rFonts w:ascii="Arial" w:hAnsi="Arial" w:cs="Arial"/>
                <w:b/>
                <w:sz w:val="24"/>
              </w:rPr>
              <w:t xml:space="preserve"> DE PLENO</w:t>
            </w:r>
          </w:p>
          <w:p w14:paraId="4A87BFDE" w14:textId="77777777" w:rsidR="00E10FF4" w:rsidRDefault="00E10FF4" w:rsidP="00557560">
            <w:pPr>
              <w:jc w:val="center"/>
              <w:rPr>
                <w:rFonts w:ascii="Arial" w:hAnsi="Arial" w:cs="Arial"/>
                <w:b/>
                <w:sz w:val="24"/>
              </w:rPr>
            </w:pPr>
          </w:p>
          <w:p w14:paraId="54D87FFD" w14:textId="77777777" w:rsidR="00E10FF4" w:rsidRDefault="00E10FF4" w:rsidP="00557560">
            <w:pPr>
              <w:jc w:val="center"/>
              <w:rPr>
                <w:rFonts w:ascii="Arial" w:hAnsi="Arial" w:cs="Arial"/>
                <w:b/>
                <w:sz w:val="24"/>
              </w:rPr>
            </w:pPr>
          </w:p>
          <w:p w14:paraId="10B2ECAC" w14:textId="77777777" w:rsidR="00E10FF4" w:rsidRPr="00DF0231" w:rsidRDefault="00E10FF4" w:rsidP="00557560">
            <w:pPr>
              <w:jc w:val="center"/>
              <w:rPr>
                <w:rFonts w:ascii="Arial" w:hAnsi="Arial" w:cs="Arial"/>
                <w:b/>
                <w:sz w:val="24"/>
              </w:rPr>
            </w:pPr>
          </w:p>
          <w:p w14:paraId="3B2E3B35" w14:textId="77777777" w:rsidR="00E10FF4" w:rsidRPr="00DF0231" w:rsidRDefault="00E10FF4" w:rsidP="00557560">
            <w:pPr>
              <w:jc w:val="center"/>
              <w:rPr>
                <w:rFonts w:ascii="Arial" w:hAnsi="Arial" w:cs="Arial"/>
                <w:b/>
                <w:sz w:val="24"/>
              </w:rPr>
            </w:pPr>
          </w:p>
          <w:p w14:paraId="77A226FC" w14:textId="4FD0995A" w:rsidR="00E10FF4" w:rsidRPr="005C177F" w:rsidRDefault="005C177F" w:rsidP="00557560">
            <w:pPr>
              <w:spacing w:line="360" w:lineRule="auto"/>
              <w:jc w:val="center"/>
              <w:rPr>
                <w:rFonts w:ascii="Arial" w:hAnsi="Arial" w:cs="Arial"/>
                <w:b/>
                <w:sz w:val="24"/>
              </w:rPr>
            </w:pPr>
            <w:r w:rsidRPr="005C177F">
              <w:rPr>
                <w:rFonts w:ascii="Arial" w:hAnsi="Arial" w:cs="Arial"/>
                <w:b/>
                <w:sz w:val="24"/>
              </w:rPr>
              <w:t>OMAR ALEJANDRO VELÁZQUEZ HERNÁNDEZ</w:t>
            </w:r>
          </w:p>
        </w:tc>
      </w:tr>
    </w:tbl>
    <w:p w14:paraId="00DC67AD" w14:textId="1B509F4C" w:rsidR="00E10FF4" w:rsidRDefault="00E10FF4" w:rsidP="00E10FF4">
      <w:pPr>
        <w:spacing w:after="240" w:line="240" w:lineRule="auto"/>
        <w:jc w:val="both"/>
        <w:rPr>
          <w:rFonts w:ascii="Arial" w:hAnsi="Arial" w:cs="Arial"/>
          <w:sz w:val="16"/>
          <w:szCs w:val="16"/>
        </w:rPr>
      </w:pPr>
      <w:r w:rsidRPr="00DF0231">
        <w:rPr>
          <w:rFonts w:ascii="Arial" w:hAnsi="Arial" w:cs="Arial"/>
          <w:sz w:val="16"/>
          <w:szCs w:val="16"/>
        </w:rPr>
        <w:t>Estas firmas pertenecen a la última foja de la resolución</w:t>
      </w:r>
      <w:r>
        <w:rPr>
          <w:rFonts w:ascii="Arial" w:hAnsi="Arial" w:cs="Arial"/>
          <w:sz w:val="16"/>
          <w:szCs w:val="16"/>
        </w:rPr>
        <w:t xml:space="preserve"> d</w:t>
      </w:r>
      <w:r w:rsidRPr="00DF0231">
        <w:rPr>
          <w:rFonts w:ascii="Arial" w:hAnsi="Arial" w:cs="Arial"/>
          <w:sz w:val="16"/>
          <w:szCs w:val="16"/>
        </w:rPr>
        <w:t xml:space="preserve">el recurso de revisión </w:t>
      </w:r>
      <w:r>
        <w:rPr>
          <w:rFonts w:ascii="Arial" w:hAnsi="Arial" w:cs="Arial"/>
          <w:sz w:val="16"/>
          <w:szCs w:val="16"/>
        </w:rPr>
        <w:t xml:space="preserve">RR-946/2026-3, </w:t>
      </w:r>
      <w:r w:rsidRPr="00DF0231">
        <w:rPr>
          <w:rFonts w:ascii="Arial" w:hAnsi="Arial" w:cs="Arial"/>
          <w:sz w:val="16"/>
          <w:szCs w:val="16"/>
        </w:rPr>
        <w:t xml:space="preserve">pronunciada en </w:t>
      </w:r>
      <w:r>
        <w:rPr>
          <w:rFonts w:ascii="Arial" w:hAnsi="Arial" w:cs="Arial"/>
          <w:sz w:val="16"/>
          <w:szCs w:val="16"/>
        </w:rPr>
        <w:t xml:space="preserve">Sesión Ordinaria </w:t>
      </w:r>
      <w:r w:rsidRPr="00234EB9">
        <w:rPr>
          <w:rFonts w:ascii="Arial" w:hAnsi="Arial" w:cs="Arial"/>
          <w:sz w:val="16"/>
          <w:szCs w:val="16"/>
        </w:rPr>
        <w:t>c</w:t>
      </w:r>
      <w:r w:rsidRPr="00E63B14">
        <w:rPr>
          <w:rFonts w:ascii="Arial" w:hAnsi="Arial" w:cs="Arial"/>
          <w:sz w:val="16"/>
          <w:szCs w:val="16"/>
        </w:rPr>
        <w:t>elebrada el</w:t>
      </w:r>
      <w:r>
        <w:rPr>
          <w:rFonts w:ascii="Arial" w:hAnsi="Arial" w:cs="Arial"/>
          <w:sz w:val="16"/>
          <w:szCs w:val="16"/>
        </w:rPr>
        <w:t xml:space="preserve"> 08 ocho de octubre de 2026 dos mil veintiséis.</w:t>
      </w:r>
    </w:p>
    <w:p w14:paraId="22821A3C" w14:textId="77777777" w:rsidR="00E10FF4" w:rsidRDefault="00E10FF4" w:rsidP="00E10FF4">
      <w:pPr>
        <w:spacing w:after="240" w:line="240" w:lineRule="auto"/>
        <w:jc w:val="both"/>
        <w:rPr>
          <w:rFonts w:ascii="Arial" w:hAnsi="Arial" w:cs="Arial"/>
          <w:sz w:val="16"/>
          <w:szCs w:val="16"/>
        </w:rPr>
      </w:pPr>
      <w:r>
        <w:rPr>
          <w:rFonts w:ascii="Arial" w:hAnsi="Arial" w:cs="Arial"/>
          <w:sz w:val="16"/>
          <w:szCs w:val="16"/>
        </w:rPr>
        <w:t>ABCR</w:t>
      </w:r>
    </w:p>
    <w:p w14:paraId="74354716" w14:textId="77777777" w:rsidR="00E10FF4" w:rsidRDefault="00E10FF4" w:rsidP="00E10FF4">
      <w:pPr>
        <w:tabs>
          <w:tab w:val="left" w:pos="1695"/>
        </w:tabs>
        <w:spacing w:after="0" w:line="360" w:lineRule="auto"/>
        <w:jc w:val="both"/>
        <w:rPr>
          <w:rFonts w:ascii="Arial" w:eastAsia="Arial Unicode MS" w:hAnsi="Arial" w:cs="Arial"/>
          <w:sz w:val="18"/>
          <w:szCs w:val="18"/>
          <w:lang w:eastAsia="es-ES"/>
        </w:rPr>
      </w:pPr>
    </w:p>
    <w:p w14:paraId="3AF513C9" w14:textId="77777777" w:rsidR="00E10FF4" w:rsidRDefault="00E10FF4" w:rsidP="00E10FF4">
      <w:pPr>
        <w:spacing w:after="0" w:line="360" w:lineRule="auto"/>
        <w:ind w:firstLine="708"/>
        <w:jc w:val="both"/>
        <w:rPr>
          <w:rFonts w:ascii="Arial" w:eastAsia="Arial Unicode MS" w:hAnsi="Arial" w:cs="Arial"/>
          <w:bCs/>
          <w:sz w:val="24"/>
          <w:lang w:val="es-ES_tradnl"/>
        </w:rPr>
      </w:pPr>
    </w:p>
    <w:p w14:paraId="6704E0C1" w14:textId="77777777" w:rsidR="00E10FF4" w:rsidRDefault="00E10FF4" w:rsidP="00E10FF4">
      <w:pPr>
        <w:spacing w:after="0" w:line="360" w:lineRule="auto"/>
        <w:ind w:firstLine="708"/>
        <w:jc w:val="both"/>
        <w:rPr>
          <w:rFonts w:ascii="Arial" w:eastAsia="Arial Unicode MS" w:hAnsi="Arial" w:cs="Arial"/>
          <w:bCs/>
          <w:sz w:val="24"/>
          <w:lang w:val="es-ES_tradnl"/>
        </w:rPr>
      </w:pPr>
    </w:p>
    <w:p w14:paraId="56A1C71F" w14:textId="77777777" w:rsidR="00E10FF4" w:rsidRPr="001C1713" w:rsidRDefault="00E10FF4" w:rsidP="00ED099F">
      <w:pPr>
        <w:spacing w:after="0" w:line="360" w:lineRule="auto"/>
        <w:jc w:val="both"/>
        <w:rPr>
          <w:rFonts w:ascii="Arial" w:hAnsi="Arial" w:cs="Arial"/>
          <w:i/>
          <w:sz w:val="24"/>
        </w:rPr>
      </w:pPr>
    </w:p>
    <w:bookmarkEnd w:id="0"/>
    <w:bookmarkEnd w:id="1"/>
    <w:p w14:paraId="55193D74" w14:textId="6EFC8B45" w:rsidR="001C1713" w:rsidRDefault="001C1713" w:rsidP="00ED099F">
      <w:pPr>
        <w:spacing w:after="0" w:line="360" w:lineRule="auto"/>
        <w:jc w:val="both"/>
        <w:rPr>
          <w:rFonts w:ascii="Arial" w:hAnsi="Arial" w:cs="Arial"/>
          <w:sz w:val="24"/>
        </w:rPr>
      </w:pPr>
    </w:p>
    <w:sectPr w:rsidR="001C1713" w:rsidSect="00F25EED">
      <w:headerReference w:type="default" r:id="rId76"/>
      <w:footerReference w:type="default" r:id="rId77"/>
      <w:pgSz w:w="12240" w:h="20160" w:code="5"/>
      <w:pgMar w:top="2948" w:right="1418" w:bottom="283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43D73" w14:textId="77777777" w:rsidR="00825696" w:rsidRDefault="00825696" w:rsidP="00BB58C4">
      <w:pPr>
        <w:spacing w:after="0" w:line="240" w:lineRule="auto"/>
      </w:pPr>
      <w:r>
        <w:separator/>
      </w:r>
    </w:p>
  </w:endnote>
  <w:endnote w:type="continuationSeparator" w:id="0">
    <w:p w14:paraId="5CDFFBA5" w14:textId="77777777" w:rsidR="00825696" w:rsidRDefault="00825696" w:rsidP="00BB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Che">
    <w:charset w:val="81"/>
    <w:family w:val="modern"/>
    <w:pitch w:val="fixed"/>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398C" w14:textId="4780EBDD" w:rsidR="00B958C4" w:rsidRDefault="00B958C4">
    <w:pPr>
      <w:pStyle w:val="Footer"/>
    </w:pPr>
    <w:r>
      <w:rPr>
        <w:noProof/>
        <w:lang w:eastAsia="es-MX"/>
      </w:rPr>
      <mc:AlternateContent>
        <mc:Choice Requires="wps">
          <w:drawing>
            <wp:anchor distT="0" distB="0" distL="114300" distR="114300" simplePos="0" relativeHeight="251660288" behindDoc="0" locked="0" layoutInCell="1" allowOverlap="1" wp14:anchorId="37E5473D" wp14:editId="0C4D9E60">
              <wp:simplePos x="0" y="0"/>
              <wp:positionH relativeFrom="column">
                <wp:posOffset>-392430</wp:posOffset>
              </wp:positionH>
              <wp:positionV relativeFrom="paragraph">
                <wp:posOffset>-960120</wp:posOffset>
              </wp:positionV>
              <wp:extent cx="6705600" cy="13335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6705600" cy="1333500"/>
                      </a:xfrm>
                      <a:prstGeom prst="rect">
                        <a:avLst/>
                      </a:prstGeom>
                      <a:solidFill>
                        <a:schemeClr val="lt1"/>
                      </a:solidFill>
                      <a:ln w="6350">
                        <a:noFill/>
                      </a:ln>
                    </wps:spPr>
                    <wps:txbx>
                      <w:txbxContent>
                        <w:p w14:paraId="54A7C96E" w14:textId="77777777" w:rsidR="00B958C4" w:rsidRDefault="00B958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E5473D" id="_x0000_t202" coordsize="21600,21600" o:spt="202" path="m,l,21600r21600,l21600,xe">
              <v:stroke joinstyle="miter"/>
              <v:path gradientshapeok="t" o:connecttype="rect"/>
            </v:shapetype>
            <v:shape id="Cuadro de texto 1" o:spid="_x0000_s1026" type="#_x0000_t202" style="position:absolute;margin-left:-30.9pt;margin-top:-75.6pt;width:528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" fillcolor="white [3201]" stroked="f" strokeweight=".5pt">
              <v:textbox>
                <w:txbxContent>
                  <w:p w14:paraId="54A7C96E" w14:textId="77777777" w:rsidR="00B60FFB" w:rsidRDefault="00B60FFB"/>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16A40" w14:textId="77777777" w:rsidR="00825696" w:rsidRDefault="00825696" w:rsidP="00BB58C4">
      <w:pPr>
        <w:spacing w:after="0" w:line="240" w:lineRule="auto"/>
      </w:pPr>
      <w:r>
        <w:separator/>
      </w:r>
    </w:p>
  </w:footnote>
  <w:footnote w:type="continuationSeparator" w:id="0">
    <w:p w14:paraId="0098560A" w14:textId="77777777" w:rsidR="00825696" w:rsidRDefault="00825696" w:rsidP="00BB58C4">
      <w:pPr>
        <w:spacing w:after="0" w:line="240" w:lineRule="auto"/>
      </w:pPr>
      <w:r>
        <w:continuationSeparator/>
      </w:r>
    </w:p>
  </w:footnote>
  <w:footnote w:id="1">
    <w:p w14:paraId="0DCEB1AE" w14:textId="77777777" w:rsidR="00B958C4" w:rsidRPr="007A18D6" w:rsidRDefault="00B958C4" w:rsidP="00FA5019">
      <w:pPr>
        <w:jc w:val="both"/>
        <w:rPr>
          <w:rFonts w:ascii="Arial" w:hAnsi="Arial" w:cs="Arial"/>
          <w:sz w:val="16"/>
          <w:szCs w:val="16"/>
        </w:rPr>
      </w:pPr>
      <w:r w:rsidRPr="007A18D6">
        <w:rPr>
          <w:rStyle w:val="FootnoteReference"/>
          <w:rFonts w:ascii="Arial" w:hAnsi="Arial" w:cs="Arial"/>
          <w:sz w:val="16"/>
          <w:szCs w:val="16"/>
        </w:rPr>
        <w:footnoteRef/>
      </w:r>
      <w:r w:rsidRPr="007A18D6">
        <w:rPr>
          <w:rFonts w:ascii="Arial" w:hAnsi="Arial" w:cs="Arial"/>
          <w:sz w:val="16"/>
          <w:szCs w:val="16"/>
        </w:rPr>
        <w:t xml:space="preserve"> Cfr. Jurisprudencia número VI.2o. J/323, visible en la Octava Época, de la Gaceta del Semanario Judicial de la Federación, Núm. 80, Agosto de 1994, p. 87. Instancia: Tribunales Colegiados de Circuito, con Registro electrónico: 210784, </w:t>
      </w:r>
    </w:p>
  </w:footnote>
  <w:footnote w:id="2">
    <w:p w14:paraId="4D83296A" w14:textId="77777777" w:rsidR="00B958C4" w:rsidRPr="007A18D6" w:rsidRDefault="00B958C4" w:rsidP="00FA5019">
      <w:pPr>
        <w:spacing w:after="0" w:line="240" w:lineRule="auto"/>
        <w:jc w:val="both"/>
        <w:rPr>
          <w:rFonts w:ascii="Arial" w:eastAsia="Arial Unicode MS" w:hAnsi="Arial" w:cs="Arial"/>
          <w:bCs/>
          <w:sz w:val="16"/>
          <w:szCs w:val="16"/>
          <w:lang w:eastAsia="es-ES"/>
        </w:rPr>
      </w:pPr>
      <w:r w:rsidRPr="007A18D6">
        <w:rPr>
          <w:rStyle w:val="FootnoteReference"/>
          <w:rFonts w:ascii="Arial" w:hAnsi="Arial" w:cs="Arial"/>
          <w:sz w:val="16"/>
          <w:szCs w:val="16"/>
        </w:rPr>
        <w:footnoteRef/>
      </w:r>
      <w:r w:rsidRPr="007A18D6">
        <w:rPr>
          <w:rFonts w:ascii="Arial" w:hAnsi="Arial" w:cs="Arial"/>
          <w:sz w:val="16"/>
          <w:szCs w:val="16"/>
        </w:rPr>
        <w:t xml:space="preserve"> </w:t>
      </w:r>
      <w:r w:rsidRPr="007A18D6">
        <w:rPr>
          <w:rFonts w:ascii="Arial" w:eastAsia="Arial Unicode MS" w:hAnsi="Arial" w:cs="Arial"/>
          <w:bCs/>
          <w:sz w:val="16"/>
          <w:szCs w:val="16"/>
          <w:lang w:eastAsia="es-ES"/>
        </w:rPr>
        <w:t xml:space="preserve">El Diccionario Jurídico Mexicano del Instituto de Investigaciones Jurídicas, Editorial Porrúa, Octava Edición, México 1995, página 2637, en relación con el sobreseimiento señala: </w:t>
      </w:r>
      <w:r w:rsidRPr="007A18D6">
        <w:rPr>
          <w:rFonts w:ascii="Arial" w:eastAsia="Arial Unicode MS" w:hAnsi="Arial" w:cs="Arial"/>
          <w:bCs/>
          <w:i/>
          <w:iCs/>
          <w:sz w:val="16"/>
          <w:szCs w:val="16"/>
          <w:lang w:eastAsia="es-ES"/>
        </w:rPr>
        <w:t>"Sobreseimiento. I. (Del latín supercedere; cesar, desistir)</w:t>
      </w:r>
      <w:r w:rsidRPr="007A18D6">
        <w:rPr>
          <w:rFonts w:ascii="Arial" w:eastAsia="Arial Unicode MS" w:hAnsi="Arial" w:cs="Arial"/>
          <w:bCs/>
          <w:sz w:val="16"/>
          <w:szCs w:val="16"/>
          <w:lang w:eastAsia="es-ES"/>
        </w:rPr>
        <w:t>. Es la resolución judicial por la cual se declara que existe un obstáculo jurídico o de hecho que impide la decisión sobre el fondo de la controversia".</w:t>
      </w:r>
    </w:p>
  </w:footnote>
  <w:footnote w:id="3">
    <w:p w14:paraId="3FAFF229" w14:textId="77777777" w:rsidR="00B958C4" w:rsidRPr="00984130" w:rsidRDefault="00B958C4" w:rsidP="006506E4">
      <w:pPr>
        <w:pStyle w:val="FootnoteText"/>
        <w:rPr>
          <w:rFonts w:ascii="Arial" w:hAnsi="Arial" w:cs="Arial"/>
          <w:sz w:val="16"/>
          <w:szCs w:val="16"/>
        </w:rPr>
      </w:pPr>
      <w:r w:rsidRPr="00984130">
        <w:rPr>
          <w:rStyle w:val="FootnoteReference"/>
          <w:rFonts w:ascii="Arial" w:hAnsi="Arial" w:cs="Arial"/>
          <w:sz w:val="16"/>
          <w:szCs w:val="16"/>
        </w:rPr>
        <w:footnoteRef/>
      </w:r>
      <w:r w:rsidRPr="00984130">
        <w:rPr>
          <w:rFonts w:ascii="Arial" w:hAnsi="Arial" w:cs="Arial"/>
          <w:sz w:val="16"/>
          <w:szCs w:val="16"/>
        </w:rPr>
        <w:t xml:space="preserve"> ARTÍCULO 4°. El derecho humano de acceso a la información comprende solicitar, investigar, difundir, buscar y recibir información.</w:t>
      </w:r>
    </w:p>
  </w:footnote>
  <w:footnote w:id="4">
    <w:p w14:paraId="5BE9EA4E" w14:textId="77777777" w:rsidR="00B958C4" w:rsidRPr="00984130" w:rsidRDefault="00B958C4" w:rsidP="006506E4">
      <w:pPr>
        <w:pStyle w:val="FootnoteText"/>
        <w:rPr>
          <w:rFonts w:ascii="Arial" w:hAnsi="Arial" w:cs="Arial"/>
          <w:sz w:val="16"/>
          <w:szCs w:val="16"/>
        </w:rPr>
      </w:pPr>
      <w:r w:rsidRPr="00984130">
        <w:rPr>
          <w:rStyle w:val="FootnoteReference"/>
          <w:rFonts w:ascii="Arial" w:hAnsi="Arial" w:cs="Arial"/>
          <w:sz w:val="16"/>
          <w:szCs w:val="16"/>
        </w:rPr>
        <w:footnoteRef/>
      </w:r>
      <w:r w:rsidRPr="00984130">
        <w:rPr>
          <w:rFonts w:ascii="Arial" w:hAnsi="Arial" w:cs="Arial"/>
          <w:sz w:val="16"/>
          <w:szCs w:val="16"/>
        </w:rPr>
        <w:t xml:space="preserve"> ARTÍCULO 18. Los sujetos obligados deberán documentar todo acto que derive del ejercicio de sus facultades, competencias o funciones.</w:t>
      </w:r>
    </w:p>
  </w:footnote>
  <w:footnote w:id="5">
    <w:p w14:paraId="37CEA341" w14:textId="77777777" w:rsidR="00B958C4" w:rsidRPr="00984130" w:rsidRDefault="00B958C4" w:rsidP="006506E4">
      <w:pPr>
        <w:pStyle w:val="FootnoteText"/>
        <w:rPr>
          <w:rFonts w:ascii="Arial" w:hAnsi="Arial" w:cs="Arial"/>
          <w:sz w:val="16"/>
          <w:szCs w:val="16"/>
        </w:rPr>
      </w:pPr>
      <w:r w:rsidRPr="00984130">
        <w:rPr>
          <w:rStyle w:val="FootnoteReference"/>
          <w:rFonts w:ascii="Arial" w:hAnsi="Arial" w:cs="Arial"/>
          <w:sz w:val="16"/>
          <w:szCs w:val="16"/>
        </w:rPr>
        <w:footnoteRef/>
      </w:r>
      <w:r w:rsidRPr="00984130">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w:t>
      </w:r>
    </w:p>
  </w:footnote>
  <w:footnote w:id="6">
    <w:p w14:paraId="11E0FB1C" w14:textId="77777777" w:rsidR="00B958C4" w:rsidRPr="005B0CC1" w:rsidRDefault="00B958C4" w:rsidP="00914CC1">
      <w:pPr>
        <w:pStyle w:val="FootnoteText"/>
        <w:rPr>
          <w:rFonts w:ascii="Arial" w:hAnsi="Arial" w:cs="Arial"/>
          <w:sz w:val="16"/>
          <w:szCs w:val="16"/>
        </w:rPr>
      </w:pPr>
      <w:r w:rsidRPr="00FC2E99">
        <w:rPr>
          <w:rStyle w:val="FootnoteReference"/>
          <w:rFonts w:ascii="Arial" w:hAnsi="Arial" w:cs="Arial"/>
          <w:sz w:val="16"/>
          <w:szCs w:val="16"/>
        </w:rPr>
        <w:footnoteRef/>
      </w:r>
      <w:r w:rsidRPr="00FC2E99">
        <w:rPr>
          <w:rFonts w:ascii="Arial" w:hAnsi="Arial" w:cs="Arial"/>
          <w:sz w:val="16"/>
          <w:szCs w:val="16"/>
        </w:rPr>
        <w:t xml:space="preserve"> ARTÍCULO 19. Se presume que la información debe existir si se refiere a las facultades, competencias y funciones que los ordenamientos jurídicos aplicables otorgan a los sujetos obligados. En los casos en que ciertas facultades, competencias o funciones no se hayan ejercido, se debe motivar la respuesta en función de las causas que motiven la </w:t>
      </w:r>
      <w:r w:rsidRPr="005B0CC1">
        <w:rPr>
          <w:rFonts w:ascii="Arial" w:hAnsi="Arial" w:cs="Arial"/>
          <w:sz w:val="16"/>
          <w:szCs w:val="16"/>
        </w:rPr>
        <w:t>inexistencia.</w:t>
      </w:r>
    </w:p>
  </w:footnote>
  <w:footnote w:id="7">
    <w:p w14:paraId="7F0E2547" w14:textId="77777777" w:rsidR="00B958C4" w:rsidRPr="005B0CC1" w:rsidRDefault="00B958C4" w:rsidP="00914CC1">
      <w:pPr>
        <w:pStyle w:val="FootnoteText"/>
        <w:rPr>
          <w:rFonts w:ascii="Arial" w:hAnsi="Arial" w:cs="Arial"/>
          <w:sz w:val="16"/>
          <w:szCs w:val="16"/>
        </w:rPr>
      </w:pPr>
      <w:r w:rsidRPr="005B0CC1">
        <w:rPr>
          <w:rStyle w:val="FootnoteReference"/>
          <w:rFonts w:ascii="Arial" w:hAnsi="Arial" w:cs="Arial"/>
          <w:sz w:val="16"/>
          <w:szCs w:val="16"/>
        </w:rPr>
        <w:footnoteRef/>
      </w:r>
      <w:r w:rsidRPr="005B0CC1">
        <w:rPr>
          <w:rFonts w:ascii="Arial" w:hAnsi="Arial" w:cs="Arial"/>
          <w:sz w:val="16"/>
          <w:szCs w:val="16"/>
        </w:rPr>
        <w:t xml:space="preserve"> ARTÍCULO 160. Cuando la información no se encuentre en los archivos del sujeto obligado, el Comité de Transparencia: I. Analizará el caso y tomará las medidas necesarias para localizar la información; II. Expedirá una resolución que confirme la inexistencia del Documento; III.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IV. Notificará al órgano interno de control o equivalente del sujeto obligado quien, en su caso, deberá iniciar el</w:t>
      </w:r>
      <w:r>
        <w:rPr>
          <w:rFonts w:ascii="Arial" w:hAnsi="Arial" w:cs="Arial"/>
          <w:sz w:val="16"/>
          <w:szCs w:val="16"/>
        </w:rPr>
        <w:t xml:space="preserve"> </w:t>
      </w:r>
      <w:r w:rsidRPr="005B0CC1">
        <w:rPr>
          <w:rFonts w:ascii="Arial" w:hAnsi="Arial" w:cs="Arial"/>
          <w:sz w:val="16"/>
          <w:szCs w:val="16"/>
        </w:rPr>
        <w:t>procedimiento de responsabilidad administrativa que</w:t>
      </w:r>
      <w:r>
        <w:rPr>
          <w:rFonts w:ascii="Arial" w:hAnsi="Arial" w:cs="Arial"/>
          <w:sz w:val="16"/>
          <w:szCs w:val="16"/>
        </w:rPr>
        <w:t xml:space="preserve"> </w:t>
      </w:r>
      <w:r w:rsidRPr="005B0CC1">
        <w:rPr>
          <w:rFonts w:ascii="Arial" w:hAnsi="Arial" w:cs="Arial"/>
          <w:sz w:val="16"/>
          <w:szCs w:val="16"/>
        </w:rPr>
        <w:t>corresponda.</w:t>
      </w:r>
    </w:p>
  </w:footnote>
  <w:footnote w:id="8">
    <w:p w14:paraId="0D842ABD" w14:textId="77777777" w:rsidR="00B958C4" w:rsidRPr="00DE7EFA" w:rsidRDefault="00B958C4" w:rsidP="008E2F6A">
      <w:pPr>
        <w:pStyle w:val="FootnoteText"/>
        <w:rPr>
          <w:rFonts w:ascii="Arial" w:hAnsi="Arial" w:cs="Arial"/>
          <w:sz w:val="16"/>
          <w:szCs w:val="16"/>
        </w:rPr>
      </w:pPr>
      <w:r w:rsidRPr="00DE7EFA">
        <w:rPr>
          <w:rStyle w:val="FootnoteReference"/>
          <w:rFonts w:ascii="Arial" w:hAnsi="Arial" w:cs="Arial"/>
          <w:sz w:val="16"/>
          <w:szCs w:val="16"/>
        </w:rPr>
        <w:footnoteRef/>
      </w:r>
      <w:r w:rsidRPr="00DE7EFA">
        <w:rPr>
          <w:rFonts w:ascii="Arial" w:hAnsi="Arial" w:cs="Arial"/>
          <w:sz w:val="16"/>
          <w:szCs w:val="16"/>
        </w:rPr>
        <w:t xml:space="preserve"> </w:t>
      </w:r>
      <w:r w:rsidRPr="00DE7EFA">
        <w:rPr>
          <w:rFonts w:ascii="Arial" w:hAnsi="Arial" w:cs="Arial"/>
          <w:bCs/>
          <w:sz w:val="16"/>
          <w:szCs w:val="16"/>
        </w:rPr>
        <w:t xml:space="preserve">LEY GENERAL </w:t>
      </w:r>
      <w:r w:rsidRPr="00DE7EFA">
        <w:rPr>
          <w:rFonts w:ascii="Arial" w:hAnsi="Arial" w:cs="Arial"/>
          <w:sz w:val="16"/>
          <w:szCs w:val="16"/>
        </w:rPr>
        <w:t xml:space="preserve">DE TRANSPARENCIA Y ACCESO A LA INFORMACIÓN PÚBLICA, </w:t>
      </w:r>
      <w:r w:rsidRPr="00DE7EFA">
        <w:rPr>
          <w:rFonts w:ascii="Arial" w:hAnsi="Arial" w:cs="Arial"/>
          <w:bCs/>
          <w:sz w:val="16"/>
          <w:szCs w:val="16"/>
        </w:rPr>
        <w:t xml:space="preserve">Comentada, </w:t>
      </w:r>
      <w:r w:rsidRPr="00DE7EFA">
        <w:rPr>
          <w:rFonts w:ascii="Arial" w:hAnsi="Arial" w:cs="Arial"/>
          <w:sz w:val="16"/>
          <w:szCs w:val="16"/>
        </w:rPr>
        <w:t>Jorge Islas López, Instituto Nacional De Transparencia, Acceso A La Información Y Protección De Datos Personales, Primera Edición, Noviembre De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EBE29" w14:textId="61282809" w:rsidR="00B958C4" w:rsidRDefault="00B958C4">
    <w:pPr>
      <w:pStyle w:val="Header"/>
      <w:jc w:val="center"/>
    </w:pPr>
    <w:r>
      <w:rPr>
        <w:noProof/>
        <w:lang w:eastAsia="es-MX"/>
      </w:rPr>
      <w:drawing>
        <wp:anchor distT="0" distB="0" distL="114300" distR="114300" simplePos="0" relativeHeight="251659264" behindDoc="1" locked="0" layoutInCell="1" allowOverlap="1" wp14:anchorId="03EFB77B" wp14:editId="58CF992C">
          <wp:simplePos x="0" y="0"/>
          <wp:positionH relativeFrom="page">
            <wp:posOffset>20955</wp:posOffset>
          </wp:positionH>
          <wp:positionV relativeFrom="paragraph">
            <wp:posOffset>-526415</wp:posOffset>
          </wp:positionV>
          <wp:extent cx="8182335" cy="12877800"/>
          <wp:effectExtent l="0" t="0" r="9525"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2335" cy="12877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23023284"/>
        <w:docPartObj>
          <w:docPartGallery w:val="Page Numbers (Top of Page)"/>
          <w:docPartUnique/>
        </w:docPartObj>
      </w:sdtPr>
      <w:sdtEndPr/>
      <w:sdtContent>
        <w:r>
          <w:fldChar w:fldCharType="begin"/>
        </w:r>
        <w:r>
          <w:instrText>PAGE   \* MERGEFORMAT</w:instrText>
        </w:r>
        <w:r>
          <w:fldChar w:fldCharType="separate"/>
        </w:r>
        <w:r w:rsidR="005C177F">
          <w:rPr>
            <w:noProof/>
          </w:rPr>
          <w:t>33</w:t>
        </w:r>
        <w:r>
          <w:fldChar w:fldCharType="end"/>
        </w:r>
      </w:sdtContent>
    </w:sdt>
  </w:p>
  <w:p w14:paraId="73B62FEB" w14:textId="18370400" w:rsidR="00B958C4" w:rsidRDefault="00B958C4">
    <w:pPr>
      <w:pStyle w:val="Header"/>
      <w:jc w:val="center"/>
    </w:pPr>
  </w:p>
  <w:p w14:paraId="11A12D19" w14:textId="2D6FFD7A" w:rsidR="00B958C4" w:rsidRDefault="00B958C4">
    <w:pPr>
      <w:pStyle w:val="Header"/>
      <w:jc w:val="center"/>
    </w:pPr>
  </w:p>
  <w:p w14:paraId="3C5C0923" w14:textId="7B0FF51F" w:rsidR="00B958C4" w:rsidRDefault="00B958C4">
    <w:pPr>
      <w:pStyle w:val="Header"/>
      <w:jc w:val="center"/>
    </w:pPr>
  </w:p>
  <w:p w14:paraId="167ADC62" w14:textId="77777777" w:rsidR="00B958C4" w:rsidRDefault="00B958C4" w:rsidP="00E25AE4">
    <w:pPr>
      <w:pStyle w:val="Header"/>
      <w:tabs>
        <w:tab w:val="left" w:pos="5954"/>
      </w:tabs>
      <w:jc w:val="right"/>
      <w:rPr>
        <w:sz w:val="20"/>
        <w:szCs w:val="20"/>
      </w:rPr>
    </w:pPr>
  </w:p>
  <w:p w14:paraId="2E3B98D4" w14:textId="77777777" w:rsidR="00B958C4" w:rsidRDefault="00B958C4">
    <w:pPr>
      <w:pStyle w:val="Header"/>
      <w:jc w:val="center"/>
    </w:pPr>
  </w:p>
  <w:p w14:paraId="4E5FFEF8" w14:textId="46E567DF" w:rsidR="00B958C4" w:rsidRDefault="00B958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233D6"/>
    <w:multiLevelType w:val="hybridMultilevel"/>
    <w:tmpl w:val="BB345306"/>
    <w:lvl w:ilvl="0" w:tplc="521C4FEC">
      <w:start w:val="1"/>
      <w:numFmt w:val="lowerLetter"/>
      <w:lvlText w:val="%1)"/>
      <w:lvlJc w:val="left"/>
      <w:pPr>
        <w:ind w:left="1494" w:hanging="360"/>
      </w:pPr>
      <w:rPr>
        <w:rFonts w:hint="default"/>
      </w:rPr>
    </w:lvl>
    <w:lvl w:ilvl="1" w:tplc="080A000B">
      <w:start w:val="1"/>
      <w:numFmt w:val="bullet"/>
      <w:lvlText w:val=""/>
      <w:lvlJc w:val="left"/>
      <w:pPr>
        <w:ind w:left="2214" w:hanging="360"/>
      </w:pPr>
      <w:rPr>
        <w:rFonts w:ascii="Wingdings" w:hAnsi="Wingdings" w:hint="default"/>
      </w:r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A14778"/>
    <w:multiLevelType w:val="hybridMultilevel"/>
    <w:tmpl w:val="1026D8C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113E1E2B"/>
    <w:multiLevelType w:val="multilevel"/>
    <w:tmpl w:val="2DCE99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DA4E2A"/>
    <w:multiLevelType w:val="multilevel"/>
    <w:tmpl w:val="AF88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7F4918"/>
    <w:multiLevelType w:val="multilevel"/>
    <w:tmpl w:val="B6E4E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1A4604"/>
    <w:multiLevelType w:val="hybridMultilevel"/>
    <w:tmpl w:val="AFB41D68"/>
    <w:lvl w:ilvl="0" w:tplc="40F2F88C">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15:restartNumberingAfterBreak="0">
    <w:nsid w:val="4A7647FB"/>
    <w:multiLevelType w:val="hybridMultilevel"/>
    <w:tmpl w:val="DC6EE6E8"/>
    <w:lvl w:ilvl="0" w:tplc="080A0001">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7" w15:restartNumberingAfterBreak="0">
    <w:nsid w:val="5B5A50E7"/>
    <w:multiLevelType w:val="hybridMultilevel"/>
    <w:tmpl w:val="D248BB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F27307F"/>
    <w:multiLevelType w:val="hybridMultilevel"/>
    <w:tmpl w:val="737CF25A"/>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9" w15:restartNumberingAfterBreak="0">
    <w:nsid w:val="74842C6F"/>
    <w:multiLevelType w:val="hybridMultilevel"/>
    <w:tmpl w:val="B06A414A"/>
    <w:lvl w:ilvl="0" w:tplc="080A0013">
      <w:start w:val="1"/>
      <w:numFmt w:val="upp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num w:numId="1">
    <w:abstractNumId w:val="9"/>
  </w:num>
  <w:num w:numId="2">
    <w:abstractNumId w:val="5"/>
  </w:num>
  <w:num w:numId="3">
    <w:abstractNumId w:val="7"/>
  </w:num>
  <w:num w:numId="4">
    <w:abstractNumId w:val="0"/>
  </w:num>
  <w:num w:numId="5">
    <w:abstractNumId w:val="6"/>
  </w:num>
  <w:num w:numId="6">
    <w:abstractNumId w:val="8"/>
  </w:num>
  <w:num w:numId="7">
    <w:abstractNumId w:val="3"/>
  </w:num>
  <w:num w:numId="8">
    <w:abstractNumId w:val="4"/>
  </w:num>
  <w:num w:numId="9">
    <w:abstractNumId w:val="2"/>
  </w:num>
  <w:num w:numId="10">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8C4"/>
    <w:rsid w:val="000026CB"/>
    <w:rsid w:val="00002E9F"/>
    <w:rsid w:val="00006E2A"/>
    <w:rsid w:val="000105B5"/>
    <w:rsid w:val="00010D66"/>
    <w:rsid w:val="000124BC"/>
    <w:rsid w:val="00016245"/>
    <w:rsid w:val="00017BD8"/>
    <w:rsid w:val="00025290"/>
    <w:rsid w:val="00027381"/>
    <w:rsid w:val="000301FF"/>
    <w:rsid w:val="00031333"/>
    <w:rsid w:val="000336AF"/>
    <w:rsid w:val="000344D7"/>
    <w:rsid w:val="00035D9B"/>
    <w:rsid w:val="00035E7E"/>
    <w:rsid w:val="00037320"/>
    <w:rsid w:val="00040FD8"/>
    <w:rsid w:val="00042328"/>
    <w:rsid w:val="00043C35"/>
    <w:rsid w:val="00046E7E"/>
    <w:rsid w:val="00053526"/>
    <w:rsid w:val="000538E6"/>
    <w:rsid w:val="000571B3"/>
    <w:rsid w:val="000655EE"/>
    <w:rsid w:val="000677D9"/>
    <w:rsid w:val="00070AC0"/>
    <w:rsid w:val="000726B3"/>
    <w:rsid w:val="00072F3D"/>
    <w:rsid w:val="00073158"/>
    <w:rsid w:val="0007486E"/>
    <w:rsid w:val="00077AAF"/>
    <w:rsid w:val="000809BC"/>
    <w:rsid w:val="0008377E"/>
    <w:rsid w:val="00084EFD"/>
    <w:rsid w:val="00087DF6"/>
    <w:rsid w:val="00090994"/>
    <w:rsid w:val="0009731F"/>
    <w:rsid w:val="000A1D2F"/>
    <w:rsid w:val="000A264B"/>
    <w:rsid w:val="000A7739"/>
    <w:rsid w:val="000B47F3"/>
    <w:rsid w:val="000B6AD7"/>
    <w:rsid w:val="000C198E"/>
    <w:rsid w:val="000C36C0"/>
    <w:rsid w:val="000C3D5B"/>
    <w:rsid w:val="000C786C"/>
    <w:rsid w:val="000D4FD1"/>
    <w:rsid w:val="000D6D87"/>
    <w:rsid w:val="000E016B"/>
    <w:rsid w:val="000E2DF5"/>
    <w:rsid w:val="000E34A3"/>
    <w:rsid w:val="000E40C4"/>
    <w:rsid w:val="000E6056"/>
    <w:rsid w:val="000E6F0C"/>
    <w:rsid w:val="000F1090"/>
    <w:rsid w:val="000F2744"/>
    <w:rsid w:val="000F3069"/>
    <w:rsid w:val="000F38EE"/>
    <w:rsid w:val="000F3F91"/>
    <w:rsid w:val="000F7309"/>
    <w:rsid w:val="0010128F"/>
    <w:rsid w:val="00102018"/>
    <w:rsid w:val="0010230D"/>
    <w:rsid w:val="00103099"/>
    <w:rsid w:val="0010669C"/>
    <w:rsid w:val="00113311"/>
    <w:rsid w:val="00116052"/>
    <w:rsid w:val="00116558"/>
    <w:rsid w:val="00117D8F"/>
    <w:rsid w:val="00120E40"/>
    <w:rsid w:val="001223E7"/>
    <w:rsid w:val="00123D10"/>
    <w:rsid w:val="001300D8"/>
    <w:rsid w:val="00130183"/>
    <w:rsid w:val="00131B97"/>
    <w:rsid w:val="001324A5"/>
    <w:rsid w:val="00132635"/>
    <w:rsid w:val="0013403E"/>
    <w:rsid w:val="00136AF9"/>
    <w:rsid w:val="00137098"/>
    <w:rsid w:val="0013733B"/>
    <w:rsid w:val="00142DE9"/>
    <w:rsid w:val="00144720"/>
    <w:rsid w:val="00146A2F"/>
    <w:rsid w:val="0015065F"/>
    <w:rsid w:val="001515C7"/>
    <w:rsid w:val="00151DB1"/>
    <w:rsid w:val="001527F4"/>
    <w:rsid w:val="001538C2"/>
    <w:rsid w:val="00154235"/>
    <w:rsid w:val="001545B5"/>
    <w:rsid w:val="001556D1"/>
    <w:rsid w:val="0015714F"/>
    <w:rsid w:val="00163669"/>
    <w:rsid w:val="001653FC"/>
    <w:rsid w:val="001656DD"/>
    <w:rsid w:val="00167759"/>
    <w:rsid w:val="001727BD"/>
    <w:rsid w:val="001729CA"/>
    <w:rsid w:val="00177240"/>
    <w:rsid w:val="00177C7B"/>
    <w:rsid w:val="00180183"/>
    <w:rsid w:val="00185BD2"/>
    <w:rsid w:val="00194ABA"/>
    <w:rsid w:val="00197707"/>
    <w:rsid w:val="001A4540"/>
    <w:rsid w:val="001B063A"/>
    <w:rsid w:val="001B1295"/>
    <w:rsid w:val="001B1BF6"/>
    <w:rsid w:val="001B27D5"/>
    <w:rsid w:val="001C055B"/>
    <w:rsid w:val="001C1713"/>
    <w:rsid w:val="001C2C4E"/>
    <w:rsid w:val="001C4908"/>
    <w:rsid w:val="001C7DCD"/>
    <w:rsid w:val="001D72F3"/>
    <w:rsid w:val="001D7A79"/>
    <w:rsid w:val="001D7B5F"/>
    <w:rsid w:val="001E43FD"/>
    <w:rsid w:val="001E5ECD"/>
    <w:rsid w:val="001E6781"/>
    <w:rsid w:val="001E68C6"/>
    <w:rsid w:val="001F0211"/>
    <w:rsid w:val="001F257A"/>
    <w:rsid w:val="001F2A31"/>
    <w:rsid w:val="001F3F21"/>
    <w:rsid w:val="001F4BD0"/>
    <w:rsid w:val="001F56EE"/>
    <w:rsid w:val="002020A1"/>
    <w:rsid w:val="00202ADF"/>
    <w:rsid w:val="00203923"/>
    <w:rsid w:val="002042AA"/>
    <w:rsid w:val="002047AC"/>
    <w:rsid w:val="00204E4D"/>
    <w:rsid w:val="00206731"/>
    <w:rsid w:val="00211156"/>
    <w:rsid w:val="00212545"/>
    <w:rsid w:val="00216656"/>
    <w:rsid w:val="00217BB5"/>
    <w:rsid w:val="00217EF2"/>
    <w:rsid w:val="00220D5B"/>
    <w:rsid w:val="002231F8"/>
    <w:rsid w:val="00225E5A"/>
    <w:rsid w:val="00226920"/>
    <w:rsid w:val="00226D01"/>
    <w:rsid w:val="002270DD"/>
    <w:rsid w:val="00230FDA"/>
    <w:rsid w:val="0023277F"/>
    <w:rsid w:val="00233756"/>
    <w:rsid w:val="00240A2D"/>
    <w:rsid w:val="002410CE"/>
    <w:rsid w:val="002433CA"/>
    <w:rsid w:val="0025007D"/>
    <w:rsid w:val="00250696"/>
    <w:rsid w:val="00252377"/>
    <w:rsid w:val="00254470"/>
    <w:rsid w:val="00257EF4"/>
    <w:rsid w:val="0026070F"/>
    <w:rsid w:val="00260AA1"/>
    <w:rsid w:val="00262115"/>
    <w:rsid w:val="0026510F"/>
    <w:rsid w:val="00266708"/>
    <w:rsid w:val="00267DA5"/>
    <w:rsid w:val="00267E5B"/>
    <w:rsid w:val="0027021F"/>
    <w:rsid w:val="0028125F"/>
    <w:rsid w:val="002818ED"/>
    <w:rsid w:val="00282125"/>
    <w:rsid w:val="00283772"/>
    <w:rsid w:val="002840C0"/>
    <w:rsid w:val="00286345"/>
    <w:rsid w:val="002903C0"/>
    <w:rsid w:val="00292C7D"/>
    <w:rsid w:val="002969BA"/>
    <w:rsid w:val="00296D60"/>
    <w:rsid w:val="002976DB"/>
    <w:rsid w:val="00297AFD"/>
    <w:rsid w:val="002A1989"/>
    <w:rsid w:val="002A4FB3"/>
    <w:rsid w:val="002A620F"/>
    <w:rsid w:val="002A64CA"/>
    <w:rsid w:val="002A6CF1"/>
    <w:rsid w:val="002A6D06"/>
    <w:rsid w:val="002B1396"/>
    <w:rsid w:val="002B5A9F"/>
    <w:rsid w:val="002B6DF6"/>
    <w:rsid w:val="002C0E23"/>
    <w:rsid w:val="002C2E4E"/>
    <w:rsid w:val="002C72AE"/>
    <w:rsid w:val="002D790F"/>
    <w:rsid w:val="002E0CAE"/>
    <w:rsid w:val="002E463A"/>
    <w:rsid w:val="002E59EC"/>
    <w:rsid w:val="002F00EE"/>
    <w:rsid w:val="003002FF"/>
    <w:rsid w:val="0030142D"/>
    <w:rsid w:val="0031250F"/>
    <w:rsid w:val="0031482E"/>
    <w:rsid w:val="00315962"/>
    <w:rsid w:val="003177A7"/>
    <w:rsid w:val="003258AD"/>
    <w:rsid w:val="0033042C"/>
    <w:rsid w:val="0033349C"/>
    <w:rsid w:val="00334132"/>
    <w:rsid w:val="00337919"/>
    <w:rsid w:val="003424A4"/>
    <w:rsid w:val="00342730"/>
    <w:rsid w:val="00350E0B"/>
    <w:rsid w:val="00351C82"/>
    <w:rsid w:val="0035474C"/>
    <w:rsid w:val="00355714"/>
    <w:rsid w:val="003624C0"/>
    <w:rsid w:val="00363337"/>
    <w:rsid w:val="00364609"/>
    <w:rsid w:val="003659A3"/>
    <w:rsid w:val="00366D05"/>
    <w:rsid w:val="00372B1B"/>
    <w:rsid w:val="00372F75"/>
    <w:rsid w:val="00373E6F"/>
    <w:rsid w:val="00376A0E"/>
    <w:rsid w:val="00380565"/>
    <w:rsid w:val="0038759F"/>
    <w:rsid w:val="003878E6"/>
    <w:rsid w:val="00397C34"/>
    <w:rsid w:val="003A0202"/>
    <w:rsid w:val="003A5D68"/>
    <w:rsid w:val="003A69A3"/>
    <w:rsid w:val="003A751F"/>
    <w:rsid w:val="003A7898"/>
    <w:rsid w:val="003B3FED"/>
    <w:rsid w:val="003B5957"/>
    <w:rsid w:val="003C0806"/>
    <w:rsid w:val="003C0AF6"/>
    <w:rsid w:val="003C1533"/>
    <w:rsid w:val="003C3FED"/>
    <w:rsid w:val="003C4D24"/>
    <w:rsid w:val="003D02B7"/>
    <w:rsid w:val="003D22C9"/>
    <w:rsid w:val="003D4630"/>
    <w:rsid w:val="003D723F"/>
    <w:rsid w:val="003D777C"/>
    <w:rsid w:val="003E184E"/>
    <w:rsid w:val="003E1CE4"/>
    <w:rsid w:val="003E38F9"/>
    <w:rsid w:val="003E3A7C"/>
    <w:rsid w:val="003E3E83"/>
    <w:rsid w:val="003E4197"/>
    <w:rsid w:val="003E4F47"/>
    <w:rsid w:val="003E5B72"/>
    <w:rsid w:val="003F12A7"/>
    <w:rsid w:val="003F371B"/>
    <w:rsid w:val="004006AC"/>
    <w:rsid w:val="00404429"/>
    <w:rsid w:val="00407E40"/>
    <w:rsid w:val="00411979"/>
    <w:rsid w:val="00414916"/>
    <w:rsid w:val="004246C0"/>
    <w:rsid w:val="00426412"/>
    <w:rsid w:val="00427129"/>
    <w:rsid w:val="00431F8E"/>
    <w:rsid w:val="00431F90"/>
    <w:rsid w:val="0043351E"/>
    <w:rsid w:val="004413F0"/>
    <w:rsid w:val="00443E18"/>
    <w:rsid w:val="00446628"/>
    <w:rsid w:val="00455FA3"/>
    <w:rsid w:val="004566E9"/>
    <w:rsid w:val="004600CF"/>
    <w:rsid w:val="00460288"/>
    <w:rsid w:val="004629E7"/>
    <w:rsid w:val="00463C97"/>
    <w:rsid w:val="0047142F"/>
    <w:rsid w:val="0047238C"/>
    <w:rsid w:val="00472463"/>
    <w:rsid w:val="004736C0"/>
    <w:rsid w:val="00475298"/>
    <w:rsid w:val="004800A0"/>
    <w:rsid w:val="00480233"/>
    <w:rsid w:val="00480BE0"/>
    <w:rsid w:val="00485272"/>
    <w:rsid w:val="00486866"/>
    <w:rsid w:val="00492953"/>
    <w:rsid w:val="0049449F"/>
    <w:rsid w:val="00495229"/>
    <w:rsid w:val="004965FC"/>
    <w:rsid w:val="004A2E68"/>
    <w:rsid w:val="004A7263"/>
    <w:rsid w:val="004B4DD1"/>
    <w:rsid w:val="004C17FF"/>
    <w:rsid w:val="004C3E2D"/>
    <w:rsid w:val="004C70F9"/>
    <w:rsid w:val="004D0694"/>
    <w:rsid w:val="004D2C9A"/>
    <w:rsid w:val="004D3597"/>
    <w:rsid w:val="004D5980"/>
    <w:rsid w:val="004E2B2F"/>
    <w:rsid w:val="004E2B8F"/>
    <w:rsid w:val="004E37A0"/>
    <w:rsid w:val="004F3DBE"/>
    <w:rsid w:val="004F6EE5"/>
    <w:rsid w:val="0050010E"/>
    <w:rsid w:val="00503156"/>
    <w:rsid w:val="00504AE0"/>
    <w:rsid w:val="00504B28"/>
    <w:rsid w:val="00505F4B"/>
    <w:rsid w:val="0051036A"/>
    <w:rsid w:val="00510D26"/>
    <w:rsid w:val="00511ADB"/>
    <w:rsid w:val="005155ED"/>
    <w:rsid w:val="005166C3"/>
    <w:rsid w:val="00517022"/>
    <w:rsid w:val="00522594"/>
    <w:rsid w:val="005234AE"/>
    <w:rsid w:val="00523AA1"/>
    <w:rsid w:val="00523BDD"/>
    <w:rsid w:val="00526678"/>
    <w:rsid w:val="00533B9E"/>
    <w:rsid w:val="00534B46"/>
    <w:rsid w:val="0053511D"/>
    <w:rsid w:val="0053744C"/>
    <w:rsid w:val="0054471F"/>
    <w:rsid w:val="00545F96"/>
    <w:rsid w:val="005475F3"/>
    <w:rsid w:val="00547D80"/>
    <w:rsid w:val="00552FC8"/>
    <w:rsid w:val="00564B53"/>
    <w:rsid w:val="00566190"/>
    <w:rsid w:val="00573797"/>
    <w:rsid w:val="0058178A"/>
    <w:rsid w:val="00582F0A"/>
    <w:rsid w:val="00583179"/>
    <w:rsid w:val="00586028"/>
    <w:rsid w:val="00592770"/>
    <w:rsid w:val="00597410"/>
    <w:rsid w:val="0059752F"/>
    <w:rsid w:val="00597598"/>
    <w:rsid w:val="005A42FC"/>
    <w:rsid w:val="005C177F"/>
    <w:rsid w:val="005C7441"/>
    <w:rsid w:val="005D0AE8"/>
    <w:rsid w:val="005D1245"/>
    <w:rsid w:val="005D3D3E"/>
    <w:rsid w:val="005D58BC"/>
    <w:rsid w:val="005D62D1"/>
    <w:rsid w:val="005E35EB"/>
    <w:rsid w:val="005E68AB"/>
    <w:rsid w:val="005F11A3"/>
    <w:rsid w:val="005F2E5B"/>
    <w:rsid w:val="005F4721"/>
    <w:rsid w:val="005F4C19"/>
    <w:rsid w:val="005F50EE"/>
    <w:rsid w:val="005F65C1"/>
    <w:rsid w:val="006002F6"/>
    <w:rsid w:val="00600B83"/>
    <w:rsid w:val="0060122A"/>
    <w:rsid w:val="0060272A"/>
    <w:rsid w:val="00602E0A"/>
    <w:rsid w:val="0060461E"/>
    <w:rsid w:val="0060729C"/>
    <w:rsid w:val="00612F87"/>
    <w:rsid w:val="00613F4D"/>
    <w:rsid w:val="00615B5E"/>
    <w:rsid w:val="00621CB8"/>
    <w:rsid w:val="00622512"/>
    <w:rsid w:val="00624B15"/>
    <w:rsid w:val="006250BF"/>
    <w:rsid w:val="006262D8"/>
    <w:rsid w:val="006272E4"/>
    <w:rsid w:val="00627823"/>
    <w:rsid w:val="00631115"/>
    <w:rsid w:val="00631C3C"/>
    <w:rsid w:val="0063300E"/>
    <w:rsid w:val="006341D0"/>
    <w:rsid w:val="00643C55"/>
    <w:rsid w:val="00646191"/>
    <w:rsid w:val="006506E4"/>
    <w:rsid w:val="00652872"/>
    <w:rsid w:val="00654DB9"/>
    <w:rsid w:val="00656423"/>
    <w:rsid w:val="00656495"/>
    <w:rsid w:val="006568D7"/>
    <w:rsid w:val="00657800"/>
    <w:rsid w:val="00664695"/>
    <w:rsid w:val="00664E03"/>
    <w:rsid w:val="00667350"/>
    <w:rsid w:val="00674D40"/>
    <w:rsid w:val="006772DF"/>
    <w:rsid w:val="00680439"/>
    <w:rsid w:val="00685483"/>
    <w:rsid w:val="00687DE0"/>
    <w:rsid w:val="00692242"/>
    <w:rsid w:val="006938ED"/>
    <w:rsid w:val="006A0C3F"/>
    <w:rsid w:val="006A2E9D"/>
    <w:rsid w:val="006A5FC8"/>
    <w:rsid w:val="006B1BE3"/>
    <w:rsid w:val="006B5235"/>
    <w:rsid w:val="006C3288"/>
    <w:rsid w:val="006C3BD5"/>
    <w:rsid w:val="006C3F7A"/>
    <w:rsid w:val="006D04A1"/>
    <w:rsid w:val="006D0A2F"/>
    <w:rsid w:val="006D108C"/>
    <w:rsid w:val="006D3B1C"/>
    <w:rsid w:val="006D4351"/>
    <w:rsid w:val="006D4436"/>
    <w:rsid w:val="006D5F42"/>
    <w:rsid w:val="006D68A5"/>
    <w:rsid w:val="006D6953"/>
    <w:rsid w:val="006D7F4D"/>
    <w:rsid w:val="006E3DCA"/>
    <w:rsid w:val="006E4B3A"/>
    <w:rsid w:val="006E5101"/>
    <w:rsid w:val="006E58BB"/>
    <w:rsid w:val="006F66FC"/>
    <w:rsid w:val="006F70A4"/>
    <w:rsid w:val="0070456E"/>
    <w:rsid w:val="007048C8"/>
    <w:rsid w:val="007072EE"/>
    <w:rsid w:val="00710A16"/>
    <w:rsid w:val="007111A0"/>
    <w:rsid w:val="007144E3"/>
    <w:rsid w:val="00714BE5"/>
    <w:rsid w:val="0071639F"/>
    <w:rsid w:val="0072093A"/>
    <w:rsid w:val="00720F5B"/>
    <w:rsid w:val="00721350"/>
    <w:rsid w:val="00721565"/>
    <w:rsid w:val="00735406"/>
    <w:rsid w:val="0074000D"/>
    <w:rsid w:val="007404B0"/>
    <w:rsid w:val="00741B77"/>
    <w:rsid w:val="00741C15"/>
    <w:rsid w:val="0074223C"/>
    <w:rsid w:val="0074393C"/>
    <w:rsid w:val="0074480B"/>
    <w:rsid w:val="00745A63"/>
    <w:rsid w:val="00746F0C"/>
    <w:rsid w:val="00751A2B"/>
    <w:rsid w:val="00761056"/>
    <w:rsid w:val="00767258"/>
    <w:rsid w:val="00773A23"/>
    <w:rsid w:val="00776105"/>
    <w:rsid w:val="007824BC"/>
    <w:rsid w:val="00785FA6"/>
    <w:rsid w:val="007901A2"/>
    <w:rsid w:val="007902E0"/>
    <w:rsid w:val="0079131A"/>
    <w:rsid w:val="00793EC5"/>
    <w:rsid w:val="00795313"/>
    <w:rsid w:val="007953BC"/>
    <w:rsid w:val="00797E8E"/>
    <w:rsid w:val="007A00FF"/>
    <w:rsid w:val="007A0851"/>
    <w:rsid w:val="007A18D6"/>
    <w:rsid w:val="007A1D5F"/>
    <w:rsid w:val="007A3DFF"/>
    <w:rsid w:val="007B1A9B"/>
    <w:rsid w:val="007B1C17"/>
    <w:rsid w:val="007B42FD"/>
    <w:rsid w:val="007B43B8"/>
    <w:rsid w:val="007C0712"/>
    <w:rsid w:val="007C161A"/>
    <w:rsid w:val="007C6199"/>
    <w:rsid w:val="007C65B4"/>
    <w:rsid w:val="007D0819"/>
    <w:rsid w:val="007D15CB"/>
    <w:rsid w:val="007D39E8"/>
    <w:rsid w:val="007D6C37"/>
    <w:rsid w:val="007D759F"/>
    <w:rsid w:val="007E145D"/>
    <w:rsid w:val="007E5D2A"/>
    <w:rsid w:val="007E7010"/>
    <w:rsid w:val="007F11CA"/>
    <w:rsid w:val="007F44CA"/>
    <w:rsid w:val="00800DEA"/>
    <w:rsid w:val="008047CF"/>
    <w:rsid w:val="0080586F"/>
    <w:rsid w:val="00807CD1"/>
    <w:rsid w:val="0081028A"/>
    <w:rsid w:val="00820BA6"/>
    <w:rsid w:val="00821AFA"/>
    <w:rsid w:val="00825696"/>
    <w:rsid w:val="008256D8"/>
    <w:rsid w:val="00831013"/>
    <w:rsid w:val="00843E8B"/>
    <w:rsid w:val="008444D4"/>
    <w:rsid w:val="008509D1"/>
    <w:rsid w:val="008516EC"/>
    <w:rsid w:val="00853B00"/>
    <w:rsid w:val="00857A08"/>
    <w:rsid w:val="00860069"/>
    <w:rsid w:val="00861372"/>
    <w:rsid w:val="008636AE"/>
    <w:rsid w:val="00864397"/>
    <w:rsid w:val="008652D2"/>
    <w:rsid w:val="008659B3"/>
    <w:rsid w:val="00866359"/>
    <w:rsid w:val="00867FF4"/>
    <w:rsid w:val="008716A7"/>
    <w:rsid w:val="00872F9F"/>
    <w:rsid w:val="0088237E"/>
    <w:rsid w:val="00884105"/>
    <w:rsid w:val="008871B5"/>
    <w:rsid w:val="00890178"/>
    <w:rsid w:val="00893A6B"/>
    <w:rsid w:val="0089640A"/>
    <w:rsid w:val="008A172E"/>
    <w:rsid w:val="008A2984"/>
    <w:rsid w:val="008A484F"/>
    <w:rsid w:val="008A50B0"/>
    <w:rsid w:val="008A7C1B"/>
    <w:rsid w:val="008B0CD9"/>
    <w:rsid w:val="008B13B7"/>
    <w:rsid w:val="008B432F"/>
    <w:rsid w:val="008B4F50"/>
    <w:rsid w:val="008B5AC0"/>
    <w:rsid w:val="008B6E0E"/>
    <w:rsid w:val="008C5D30"/>
    <w:rsid w:val="008D142C"/>
    <w:rsid w:val="008D329D"/>
    <w:rsid w:val="008D69FD"/>
    <w:rsid w:val="008D6B24"/>
    <w:rsid w:val="008E2F6A"/>
    <w:rsid w:val="008E3926"/>
    <w:rsid w:val="008E4105"/>
    <w:rsid w:val="008E4215"/>
    <w:rsid w:val="008E7E4C"/>
    <w:rsid w:val="008F0B57"/>
    <w:rsid w:val="008F189E"/>
    <w:rsid w:val="008F277C"/>
    <w:rsid w:val="008F48A9"/>
    <w:rsid w:val="008F56B8"/>
    <w:rsid w:val="00904021"/>
    <w:rsid w:val="0090625B"/>
    <w:rsid w:val="00910225"/>
    <w:rsid w:val="00911049"/>
    <w:rsid w:val="009126CA"/>
    <w:rsid w:val="009132DC"/>
    <w:rsid w:val="009145B0"/>
    <w:rsid w:val="00914CC1"/>
    <w:rsid w:val="00917490"/>
    <w:rsid w:val="00921825"/>
    <w:rsid w:val="00922E1A"/>
    <w:rsid w:val="00927A9E"/>
    <w:rsid w:val="0093057A"/>
    <w:rsid w:val="00932B52"/>
    <w:rsid w:val="00933F44"/>
    <w:rsid w:val="00934D45"/>
    <w:rsid w:val="0094274E"/>
    <w:rsid w:val="009439B3"/>
    <w:rsid w:val="00947841"/>
    <w:rsid w:val="00947B46"/>
    <w:rsid w:val="009519C2"/>
    <w:rsid w:val="00953223"/>
    <w:rsid w:val="00961BEA"/>
    <w:rsid w:val="00962316"/>
    <w:rsid w:val="009627BC"/>
    <w:rsid w:val="00963B0B"/>
    <w:rsid w:val="00972359"/>
    <w:rsid w:val="00980E19"/>
    <w:rsid w:val="00984130"/>
    <w:rsid w:val="00984ED1"/>
    <w:rsid w:val="009905E8"/>
    <w:rsid w:val="00993A23"/>
    <w:rsid w:val="00995AA0"/>
    <w:rsid w:val="00997453"/>
    <w:rsid w:val="00997D9B"/>
    <w:rsid w:val="009A07B7"/>
    <w:rsid w:val="009A23FF"/>
    <w:rsid w:val="009A266D"/>
    <w:rsid w:val="009A4001"/>
    <w:rsid w:val="009A44D7"/>
    <w:rsid w:val="009A6A1A"/>
    <w:rsid w:val="009B1A81"/>
    <w:rsid w:val="009B4AFE"/>
    <w:rsid w:val="009B6897"/>
    <w:rsid w:val="009B7559"/>
    <w:rsid w:val="009C41D1"/>
    <w:rsid w:val="009D18E4"/>
    <w:rsid w:val="009D29C4"/>
    <w:rsid w:val="009D5E48"/>
    <w:rsid w:val="009D772A"/>
    <w:rsid w:val="009E0446"/>
    <w:rsid w:val="009E09E8"/>
    <w:rsid w:val="009E0BA7"/>
    <w:rsid w:val="009E0C00"/>
    <w:rsid w:val="009E11EC"/>
    <w:rsid w:val="009E2B97"/>
    <w:rsid w:val="009E63D5"/>
    <w:rsid w:val="009F1E9E"/>
    <w:rsid w:val="009F46E5"/>
    <w:rsid w:val="009F49AF"/>
    <w:rsid w:val="009F6B4D"/>
    <w:rsid w:val="00A0577F"/>
    <w:rsid w:val="00A0642B"/>
    <w:rsid w:val="00A1443B"/>
    <w:rsid w:val="00A15869"/>
    <w:rsid w:val="00A16DFB"/>
    <w:rsid w:val="00A234B9"/>
    <w:rsid w:val="00A24E66"/>
    <w:rsid w:val="00A30399"/>
    <w:rsid w:val="00A351D3"/>
    <w:rsid w:val="00A42363"/>
    <w:rsid w:val="00A46234"/>
    <w:rsid w:val="00A512AC"/>
    <w:rsid w:val="00A55918"/>
    <w:rsid w:val="00A56E15"/>
    <w:rsid w:val="00A609C8"/>
    <w:rsid w:val="00A658DC"/>
    <w:rsid w:val="00A67ACC"/>
    <w:rsid w:val="00A72695"/>
    <w:rsid w:val="00A7581B"/>
    <w:rsid w:val="00A80D96"/>
    <w:rsid w:val="00A81098"/>
    <w:rsid w:val="00A81866"/>
    <w:rsid w:val="00A86040"/>
    <w:rsid w:val="00A86EAF"/>
    <w:rsid w:val="00A91AC3"/>
    <w:rsid w:val="00A9283B"/>
    <w:rsid w:val="00AA2412"/>
    <w:rsid w:val="00AB18DC"/>
    <w:rsid w:val="00AB3CED"/>
    <w:rsid w:val="00AB4516"/>
    <w:rsid w:val="00AC0390"/>
    <w:rsid w:val="00AC129A"/>
    <w:rsid w:val="00AC335F"/>
    <w:rsid w:val="00AC48FA"/>
    <w:rsid w:val="00AD0240"/>
    <w:rsid w:val="00AD25A6"/>
    <w:rsid w:val="00AD3385"/>
    <w:rsid w:val="00AD52A2"/>
    <w:rsid w:val="00AE0D52"/>
    <w:rsid w:val="00AE17AD"/>
    <w:rsid w:val="00AE24B6"/>
    <w:rsid w:val="00AE452E"/>
    <w:rsid w:val="00AE6680"/>
    <w:rsid w:val="00AE6EA3"/>
    <w:rsid w:val="00AE6EED"/>
    <w:rsid w:val="00AE7345"/>
    <w:rsid w:val="00AE7B3C"/>
    <w:rsid w:val="00AF1783"/>
    <w:rsid w:val="00AF1E38"/>
    <w:rsid w:val="00AF29F8"/>
    <w:rsid w:val="00AF5841"/>
    <w:rsid w:val="00B0272F"/>
    <w:rsid w:val="00B0679B"/>
    <w:rsid w:val="00B13CA3"/>
    <w:rsid w:val="00B224C2"/>
    <w:rsid w:val="00B238D1"/>
    <w:rsid w:val="00B26846"/>
    <w:rsid w:val="00B2726D"/>
    <w:rsid w:val="00B332B8"/>
    <w:rsid w:val="00B35C7D"/>
    <w:rsid w:val="00B367EE"/>
    <w:rsid w:val="00B4223C"/>
    <w:rsid w:val="00B43012"/>
    <w:rsid w:val="00B444DD"/>
    <w:rsid w:val="00B60FFB"/>
    <w:rsid w:val="00B6163E"/>
    <w:rsid w:val="00B61E78"/>
    <w:rsid w:val="00B63221"/>
    <w:rsid w:val="00B66AEF"/>
    <w:rsid w:val="00B66CD3"/>
    <w:rsid w:val="00B705C8"/>
    <w:rsid w:val="00B7234C"/>
    <w:rsid w:val="00B72448"/>
    <w:rsid w:val="00B72B31"/>
    <w:rsid w:val="00B734D7"/>
    <w:rsid w:val="00B74607"/>
    <w:rsid w:val="00B76AF1"/>
    <w:rsid w:val="00B80685"/>
    <w:rsid w:val="00B80C24"/>
    <w:rsid w:val="00B80D26"/>
    <w:rsid w:val="00B83671"/>
    <w:rsid w:val="00B853A9"/>
    <w:rsid w:val="00B86114"/>
    <w:rsid w:val="00B87D15"/>
    <w:rsid w:val="00B9342C"/>
    <w:rsid w:val="00B934BF"/>
    <w:rsid w:val="00B958C4"/>
    <w:rsid w:val="00BA12A5"/>
    <w:rsid w:val="00BA7B7E"/>
    <w:rsid w:val="00BB1137"/>
    <w:rsid w:val="00BB4439"/>
    <w:rsid w:val="00BB4692"/>
    <w:rsid w:val="00BB51BC"/>
    <w:rsid w:val="00BB58C4"/>
    <w:rsid w:val="00BB76BC"/>
    <w:rsid w:val="00BC051E"/>
    <w:rsid w:val="00BC2D4D"/>
    <w:rsid w:val="00BC6DB5"/>
    <w:rsid w:val="00BD0A56"/>
    <w:rsid w:val="00BD1FDC"/>
    <w:rsid w:val="00BD2839"/>
    <w:rsid w:val="00BD2B59"/>
    <w:rsid w:val="00BD412E"/>
    <w:rsid w:val="00BD4586"/>
    <w:rsid w:val="00BE3561"/>
    <w:rsid w:val="00BE57D5"/>
    <w:rsid w:val="00BF0403"/>
    <w:rsid w:val="00BF0F17"/>
    <w:rsid w:val="00BF1BCF"/>
    <w:rsid w:val="00BF2B7E"/>
    <w:rsid w:val="00BF2E83"/>
    <w:rsid w:val="00BF4212"/>
    <w:rsid w:val="00BF5D40"/>
    <w:rsid w:val="00BF76BC"/>
    <w:rsid w:val="00C03649"/>
    <w:rsid w:val="00C03987"/>
    <w:rsid w:val="00C133CA"/>
    <w:rsid w:val="00C13C7C"/>
    <w:rsid w:val="00C1710E"/>
    <w:rsid w:val="00C22141"/>
    <w:rsid w:val="00C22D53"/>
    <w:rsid w:val="00C22E74"/>
    <w:rsid w:val="00C240B8"/>
    <w:rsid w:val="00C27A47"/>
    <w:rsid w:val="00C30B2F"/>
    <w:rsid w:val="00C31133"/>
    <w:rsid w:val="00C338D0"/>
    <w:rsid w:val="00C3560D"/>
    <w:rsid w:val="00C35ADA"/>
    <w:rsid w:val="00C37D11"/>
    <w:rsid w:val="00C43FD1"/>
    <w:rsid w:val="00C44B54"/>
    <w:rsid w:val="00C46B57"/>
    <w:rsid w:val="00C565B9"/>
    <w:rsid w:val="00C56811"/>
    <w:rsid w:val="00C6078B"/>
    <w:rsid w:val="00C60C6C"/>
    <w:rsid w:val="00C61723"/>
    <w:rsid w:val="00C62CA9"/>
    <w:rsid w:val="00C62DC3"/>
    <w:rsid w:val="00C66906"/>
    <w:rsid w:val="00C70877"/>
    <w:rsid w:val="00C741DB"/>
    <w:rsid w:val="00C74940"/>
    <w:rsid w:val="00C74D95"/>
    <w:rsid w:val="00C8255A"/>
    <w:rsid w:val="00C862C0"/>
    <w:rsid w:val="00C913A0"/>
    <w:rsid w:val="00C92ADE"/>
    <w:rsid w:val="00C94280"/>
    <w:rsid w:val="00C94B34"/>
    <w:rsid w:val="00C95AB7"/>
    <w:rsid w:val="00C95B29"/>
    <w:rsid w:val="00CA4586"/>
    <w:rsid w:val="00CA6AD2"/>
    <w:rsid w:val="00CB0B39"/>
    <w:rsid w:val="00CB23D1"/>
    <w:rsid w:val="00CB37E1"/>
    <w:rsid w:val="00CC56CD"/>
    <w:rsid w:val="00CC74BD"/>
    <w:rsid w:val="00CD1307"/>
    <w:rsid w:val="00CE5E00"/>
    <w:rsid w:val="00CF01EA"/>
    <w:rsid w:val="00CF14E2"/>
    <w:rsid w:val="00CF15B8"/>
    <w:rsid w:val="00CF1ACC"/>
    <w:rsid w:val="00CF1B97"/>
    <w:rsid w:val="00CF3079"/>
    <w:rsid w:val="00D10700"/>
    <w:rsid w:val="00D11B17"/>
    <w:rsid w:val="00D12106"/>
    <w:rsid w:val="00D12B58"/>
    <w:rsid w:val="00D13CEC"/>
    <w:rsid w:val="00D21027"/>
    <w:rsid w:val="00D23541"/>
    <w:rsid w:val="00D23888"/>
    <w:rsid w:val="00D30CCA"/>
    <w:rsid w:val="00D3256E"/>
    <w:rsid w:val="00D32BD5"/>
    <w:rsid w:val="00D3311D"/>
    <w:rsid w:val="00D34926"/>
    <w:rsid w:val="00D370D5"/>
    <w:rsid w:val="00D400A4"/>
    <w:rsid w:val="00D42945"/>
    <w:rsid w:val="00D439D9"/>
    <w:rsid w:val="00D474F1"/>
    <w:rsid w:val="00D506DD"/>
    <w:rsid w:val="00D52309"/>
    <w:rsid w:val="00D55C75"/>
    <w:rsid w:val="00D64C7E"/>
    <w:rsid w:val="00D64FCC"/>
    <w:rsid w:val="00D65CEF"/>
    <w:rsid w:val="00D67A32"/>
    <w:rsid w:val="00D7055B"/>
    <w:rsid w:val="00D73737"/>
    <w:rsid w:val="00D746C9"/>
    <w:rsid w:val="00D74DC2"/>
    <w:rsid w:val="00D75D83"/>
    <w:rsid w:val="00D77857"/>
    <w:rsid w:val="00D80679"/>
    <w:rsid w:val="00D82007"/>
    <w:rsid w:val="00D830B0"/>
    <w:rsid w:val="00D8333F"/>
    <w:rsid w:val="00D87E97"/>
    <w:rsid w:val="00D90381"/>
    <w:rsid w:val="00D92734"/>
    <w:rsid w:val="00D935FA"/>
    <w:rsid w:val="00D956E5"/>
    <w:rsid w:val="00D979D7"/>
    <w:rsid w:val="00DB0379"/>
    <w:rsid w:val="00DB19BB"/>
    <w:rsid w:val="00DB3740"/>
    <w:rsid w:val="00DB5F8E"/>
    <w:rsid w:val="00DC0D44"/>
    <w:rsid w:val="00DC1C0A"/>
    <w:rsid w:val="00DC4860"/>
    <w:rsid w:val="00DC5C10"/>
    <w:rsid w:val="00DD07BA"/>
    <w:rsid w:val="00DD226C"/>
    <w:rsid w:val="00DD2BA2"/>
    <w:rsid w:val="00DE370C"/>
    <w:rsid w:val="00DE4F67"/>
    <w:rsid w:val="00DE7713"/>
    <w:rsid w:val="00DF2CC8"/>
    <w:rsid w:val="00DF4D4A"/>
    <w:rsid w:val="00DF5287"/>
    <w:rsid w:val="00DF53A5"/>
    <w:rsid w:val="00E014D4"/>
    <w:rsid w:val="00E067B5"/>
    <w:rsid w:val="00E06C27"/>
    <w:rsid w:val="00E07E62"/>
    <w:rsid w:val="00E10FF4"/>
    <w:rsid w:val="00E118F1"/>
    <w:rsid w:val="00E11E76"/>
    <w:rsid w:val="00E134F5"/>
    <w:rsid w:val="00E15983"/>
    <w:rsid w:val="00E15CA7"/>
    <w:rsid w:val="00E2201B"/>
    <w:rsid w:val="00E25AE4"/>
    <w:rsid w:val="00E264AC"/>
    <w:rsid w:val="00E30026"/>
    <w:rsid w:val="00E31C4D"/>
    <w:rsid w:val="00E320CD"/>
    <w:rsid w:val="00E32947"/>
    <w:rsid w:val="00E33DFE"/>
    <w:rsid w:val="00E342A6"/>
    <w:rsid w:val="00E361CE"/>
    <w:rsid w:val="00E362CD"/>
    <w:rsid w:val="00E36F11"/>
    <w:rsid w:val="00E4294E"/>
    <w:rsid w:val="00E44932"/>
    <w:rsid w:val="00E4739F"/>
    <w:rsid w:val="00E515A3"/>
    <w:rsid w:val="00E54AE5"/>
    <w:rsid w:val="00E61CD8"/>
    <w:rsid w:val="00E630FC"/>
    <w:rsid w:val="00E63B14"/>
    <w:rsid w:val="00E66ABC"/>
    <w:rsid w:val="00E70C64"/>
    <w:rsid w:val="00E72F41"/>
    <w:rsid w:val="00E73683"/>
    <w:rsid w:val="00E7509F"/>
    <w:rsid w:val="00E835DD"/>
    <w:rsid w:val="00E843F2"/>
    <w:rsid w:val="00E86952"/>
    <w:rsid w:val="00E87B4C"/>
    <w:rsid w:val="00E91E7D"/>
    <w:rsid w:val="00E92722"/>
    <w:rsid w:val="00E92C9A"/>
    <w:rsid w:val="00E97FC1"/>
    <w:rsid w:val="00EA43AF"/>
    <w:rsid w:val="00EA6A97"/>
    <w:rsid w:val="00EA6BAA"/>
    <w:rsid w:val="00EA79E2"/>
    <w:rsid w:val="00EB3DFA"/>
    <w:rsid w:val="00EC39F4"/>
    <w:rsid w:val="00EC3EC5"/>
    <w:rsid w:val="00ED099F"/>
    <w:rsid w:val="00ED2CEE"/>
    <w:rsid w:val="00ED3CC4"/>
    <w:rsid w:val="00ED4552"/>
    <w:rsid w:val="00ED6B74"/>
    <w:rsid w:val="00EE1ED0"/>
    <w:rsid w:val="00EE5AAB"/>
    <w:rsid w:val="00EE5ADF"/>
    <w:rsid w:val="00EE70D5"/>
    <w:rsid w:val="00EE7AF6"/>
    <w:rsid w:val="00EF0332"/>
    <w:rsid w:val="00EF0945"/>
    <w:rsid w:val="00EF12FF"/>
    <w:rsid w:val="00EF24FB"/>
    <w:rsid w:val="00EF5104"/>
    <w:rsid w:val="00EF685D"/>
    <w:rsid w:val="00F06187"/>
    <w:rsid w:val="00F062BD"/>
    <w:rsid w:val="00F07E4A"/>
    <w:rsid w:val="00F10AD6"/>
    <w:rsid w:val="00F117E0"/>
    <w:rsid w:val="00F12CE3"/>
    <w:rsid w:val="00F13448"/>
    <w:rsid w:val="00F14F93"/>
    <w:rsid w:val="00F24D61"/>
    <w:rsid w:val="00F25088"/>
    <w:rsid w:val="00F25EED"/>
    <w:rsid w:val="00F268FE"/>
    <w:rsid w:val="00F276AD"/>
    <w:rsid w:val="00F27887"/>
    <w:rsid w:val="00F3006C"/>
    <w:rsid w:val="00F3096A"/>
    <w:rsid w:val="00F35CAB"/>
    <w:rsid w:val="00F43687"/>
    <w:rsid w:val="00F44775"/>
    <w:rsid w:val="00F45B92"/>
    <w:rsid w:val="00F460D8"/>
    <w:rsid w:val="00F466F2"/>
    <w:rsid w:val="00F47B79"/>
    <w:rsid w:val="00F47FC3"/>
    <w:rsid w:val="00F61D24"/>
    <w:rsid w:val="00F725B7"/>
    <w:rsid w:val="00F72AFB"/>
    <w:rsid w:val="00F75BF0"/>
    <w:rsid w:val="00F75FE9"/>
    <w:rsid w:val="00F77BEB"/>
    <w:rsid w:val="00F80F75"/>
    <w:rsid w:val="00F821B0"/>
    <w:rsid w:val="00F83025"/>
    <w:rsid w:val="00F84FA8"/>
    <w:rsid w:val="00F92628"/>
    <w:rsid w:val="00F9430F"/>
    <w:rsid w:val="00F9451E"/>
    <w:rsid w:val="00F94925"/>
    <w:rsid w:val="00FA34E5"/>
    <w:rsid w:val="00FA3B9E"/>
    <w:rsid w:val="00FA3D21"/>
    <w:rsid w:val="00FA5019"/>
    <w:rsid w:val="00FA63F8"/>
    <w:rsid w:val="00FA783E"/>
    <w:rsid w:val="00FA7E83"/>
    <w:rsid w:val="00FB22A7"/>
    <w:rsid w:val="00FB2909"/>
    <w:rsid w:val="00FB2913"/>
    <w:rsid w:val="00FB6615"/>
    <w:rsid w:val="00FC546B"/>
    <w:rsid w:val="00FC7411"/>
    <w:rsid w:val="00FD3669"/>
    <w:rsid w:val="00FD4776"/>
    <w:rsid w:val="00FD5162"/>
    <w:rsid w:val="00FD6675"/>
    <w:rsid w:val="00FD67CD"/>
    <w:rsid w:val="00FE2A7F"/>
    <w:rsid w:val="00FE33F8"/>
    <w:rsid w:val="00FE39F3"/>
    <w:rsid w:val="00FE3C7E"/>
    <w:rsid w:val="00FE63C3"/>
    <w:rsid w:val="00FE78E9"/>
    <w:rsid w:val="00FF12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0563C"/>
  <w15:docId w15:val="{2D9AB3DE-A645-4E6E-8AE6-0710331B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57A"/>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8C4"/>
    <w:pPr>
      <w:tabs>
        <w:tab w:val="center" w:pos="4252"/>
        <w:tab w:val="right" w:pos="8504"/>
      </w:tabs>
      <w:spacing w:after="0" w:line="240" w:lineRule="auto"/>
    </w:pPr>
  </w:style>
  <w:style w:type="character" w:customStyle="1" w:styleId="HeaderChar">
    <w:name w:val="Header Char"/>
    <w:basedOn w:val="DefaultParagraphFont"/>
    <w:link w:val="Header"/>
    <w:uiPriority w:val="99"/>
    <w:rsid w:val="00BB58C4"/>
  </w:style>
  <w:style w:type="paragraph" w:styleId="Footer">
    <w:name w:val="footer"/>
    <w:basedOn w:val="Normal"/>
    <w:link w:val="FooterChar"/>
    <w:uiPriority w:val="99"/>
    <w:unhideWhenUsed/>
    <w:rsid w:val="00BB58C4"/>
    <w:pPr>
      <w:tabs>
        <w:tab w:val="center" w:pos="4252"/>
        <w:tab w:val="right" w:pos="8504"/>
      </w:tabs>
      <w:spacing w:after="0" w:line="240" w:lineRule="auto"/>
    </w:pPr>
  </w:style>
  <w:style w:type="character" w:customStyle="1" w:styleId="FooterChar">
    <w:name w:val="Footer Char"/>
    <w:basedOn w:val="DefaultParagraphFont"/>
    <w:link w:val="Footer"/>
    <w:uiPriority w:val="99"/>
    <w:rsid w:val="00BB58C4"/>
  </w:style>
  <w:style w:type="table" w:styleId="TableGrid">
    <w:name w:val="Table Grid"/>
    <w:basedOn w:val="TableNormal"/>
    <w:uiPriority w:val="59"/>
    <w:rsid w:val="0093057A"/>
    <w:pPr>
      <w:spacing w:after="0" w:line="240" w:lineRule="auto"/>
    </w:pPr>
    <w:rPr>
      <w:rFonts w:eastAsia="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callout,Footnote anchor,Ref,de nota al pie,ftref,BVI fnr,16 Point,Superscript 6 Point,(Diplomarbeit FZ),Texto de nota al pie,Footnotes refss,Appel note de bas de page,Footnote number,referencia nota al pie,f,4_G,R"/>
    <w:basedOn w:val="DefaultParagraphFont"/>
    <w:link w:val="4GChar"/>
    <w:uiPriority w:val="99"/>
    <w:unhideWhenUsed/>
    <w:qFormat/>
    <w:rsid w:val="0093057A"/>
    <w:rPr>
      <w:vertAlign w:val="superscript"/>
    </w:rPr>
  </w:style>
  <w:style w:type="paragraph" w:styleId="FootnoteText">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FootnoteTextChar"/>
    <w:uiPriority w:val="99"/>
    <w:unhideWhenUsed/>
    <w:qFormat/>
    <w:rsid w:val="0093057A"/>
    <w:pPr>
      <w:spacing w:after="0" w:line="240" w:lineRule="auto"/>
      <w:jc w:val="both"/>
    </w:pPr>
    <w:rPr>
      <w:rFonts w:eastAsia="Times New Roman" w:cs="Times New Roman"/>
      <w:sz w:val="20"/>
      <w:szCs w:val="20"/>
      <w:lang w:eastAsia="es-ES"/>
    </w:rPr>
  </w:style>
  <w:style w:type="character" w:customStyle="1" w:styleId="FootnoteTextChar">
    <w:name w:val="Footnote Text Char"/>
    <w:aliases w:val="Footnote Text Char Char Char Char Char Char,Footnote Text Char Char Char Char Char1,Ref. de nota al pie1 Char,FA Fu Char,Footnote Text Char Char Char Char1,Footnote Text Cha Char,FA Fußnotentext Char,FA Fu?notentext Char,Ca Char"/>
    <w:basedOn w:val="DefaultParagraphFont"/>
    <w:link w:val="FootnoteText"/>
    <w:uiPriority w:val="99"/>
    <w:rsid w:val="0093057A"/>
    <w:rPr>
      <w:rFonts w:eastAsia="Times New Roman" w:cs="Times New Roman"/>
      <w:sz w:val="20"/>
      <w:szCs w:val="20"/>
      <w:lang w:val="es-MX" w:eastAsia="es-ES"/>
    </w:rPr>
  </w:style>
  <w:style w:type="paragraph" w:styleId="ListParagraph">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ListParagraphChar"/>
    <w:uiPriority w:val="34"/>
    <w:qFormat/>
    <w:rsid w:val="0093057A"/>
    <w:pPr>
      <w:ind w:left="720"/>
      <w:contextualSpacing/>
    </w:pPr>
  </w:style>
  <w:style w:type="character" w:customStyle="1" w:styleId="ListParagraphChar">
    <w:name w:val="List Paragraph Char"/>
    <w:aliases w:val="lp1 Char,List Paragraph1 Char,Lista de nivel 1 Char,4 Párrafo de lista Char,Figuras Char,Dot pt Char,No Spacing1 Char,List Paragraph Char Char Char Char,Indicator Text Char,Numbered Para 1 Char,DH1 Char,Listas Char,Bullet 1 Char"/>
    <w:link w:val="ListParagraph"/>
    <w:uiPriority w:val="34"/>
    <w:qFormat/>
    <w:locked/>
    <w:rsid w:val="0093057A"/>
    <w:rPr>
      <w:lang w:val="es-MX"/>
    </w:rPr>
  </w:style>
  <w:style w:type="character" w:styleId="Hyperlink">
    <w:name w:val="Hyperlink"/>
    <w:basedOn w:val="DefaultParagraphFont"/>
    <w:uiPriority w:val="99"/>
    <w:unhideWhenUsed/>
    <w:rsid w:val="000124BC"/>
    <w:rPr>
      <w:color w:val="0563C1" w:themeColor="hyperlink"/>
      <w:u w:val="single"/>
    </w:rPr>
  </w:style>
  <w:style w:type="paragraph" w:customStyle="1" w:styleId="xmsonormal">
    <w:name w:val="xmsonormal"/>
    <w:basedOn w:val="Normal"/>
    <w:rsid w:val="00D400A4"/>
    <w:pPr>
      <w:spacing w:before="100" w:beforeAutospacing="1" w:after="100" w:afterAutospacing="1" w:line="240" w:lineRule="auto"/>
    </w:pPr>
    <w:rPr>
      <w:rFonts w:ascii="Times New Roman" w:hAnsi="Times New Roman" w:cs="Times New Roman"/>
      <w:sz w:val="24"/>
      <w:szCs w:val="24"/>
      <w:lang w:eastAsia="es-MX"/>
    </w:rPr>
  </w:style>
  <w:style w:type="paragraph" w:styleId="BodyText">
    <w:name w:val="Body Text"/>
    <w:basedOn w:val="Normal"/>
    <w:link w:val="BodyTextChar"/>
    <w:uiPriority w:val="99"/>
    <w:semiHidden/>
    <w:unhideWhenUsed/>
    <w:rsid w:val="00AC129A"/>
    <w:pPr>
      <w:spacing w:after="120"/>
    </w:pPr>
  </w:style>
  <w:style w:type="character" w:customStyle="1" w:styleId="BodyTextChar">
    <w:name w:val="Body Text Char"/>
    <w:basedOn w:val="DefaultParagraphFont"/>
    <w:link w:val="BodyText"/>
    <w:uiPriority w:val="99"/>
    <w:semiHidden/>
    <w:rsid w:val="00AC129A"/>
    <w:rPr>
      <w:lang w:val="es-MX"/>
    </w:rPr>
  </w:style>
  <w:style w:type="paragraph" w:styleId="BodyTextFirstIndent">
    <w:name w:val="Body Text First Indent"/>
    <w:basedOn w:val="BodyText"/>
    <w:link w:val="BodyTextFirstIndentChar"/>
    <w:rsid w:val="00AC129A"/>
    <w:pPr>
      <w:spacing w:line="360" w:lineRule="auto"/>
      <w:ind w:firstLine="210"/>
      <w:jc w:val="both"/>
    </w:pPr>
    <w:rPr>
      <w:rFonts w:eastAsia="Times New Roman" w:cs="Times New Roman"/>
      <w:sz w:val="26"/>
      <w:szCs w:val="24"/>
      <w:lang w:eastAsia="es-ES"/>
    </w:rPr>
  </w:style>
  <w:style w:type="character" w:customStyle="1" w:styleId="BodyTextFirstIndentChar">
    <w:name w:val="Body Text First Indent Char"/>
    <w:basedOn w:val="BodyTextChar"/>
    <w:link w:val="BodyTextFirstIndent"/>
    <w:rsid w:val="00AC129A"/>
    <w:rPr>
      <w:rFonts w:eastAsia="Times New Roman" w:cs="Times New Roman"/>
      <w:sz w:val="26"/>
      <w:szCs w:val="24"/>
      <w:lang w:val="es-MX" w:eastAsia="es-ES"/>
    </w:rPr>
  </w:style>
  <w:style w:type="paragraph" w:styleId="BalloonText">
    <w:name w:val="Balloon Text"/>
    <w:basedOn w:val="Normal"/>
    <w:link w:val="BalloonTextChar"/>
    <w:uiPriority w:val="99"/>
    <w:semiHidden/>
    <w:unhideWhenUsed/>
    <w:rsid w:val="007F44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4CA"/>
    <w:rPr>
      <w:rFonts w:ascii="Segoe UI" w:hAnsi="Segoe UI" w:cs="Segoe UI"/>
      <w:sz w:val="18"/>
      <w:szCs w:val="18"/>
      <w:lang w:val="es-MX"/>
    </w:rPr>
  </w:style>
  <w:style w:type="paragraph" w:styleId="NormalWeb">
    <w:name w:val="Normal (Web)"/>
    <w:basedOn w:val="Normal"/>
    <w:uiPriority w:val="99"/>
    <w:unhideWhenUsed/>
    <w:rsid w:val="00F9451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orte4fondo">
    <w:name w:val="corte4 fondo"/>
    <w:basedOn w:val="Normal"/>
    <w:link w:val="corte4fondoCar1"/>
    <w:qFormat/>
    <w:rsid w:val="00566190"/>
    <w:pPr>
      <w:spacing w:after="0" w:line="360" w:lineRule="auto"/>
      <w:ind w:firstLine="709"/>
      <w:jc w:val="both"/>
    </w:pPr>
    <w:rPr>
      <w:rFonts w:ascii="Arial" w:eastAsia="Times New Roman" w:hAnsi="Arial" w:cs="Times New Roman"/>
      <w:sz w:val="30"/>
      <w:szCs w:val="20"/>
      <w:lang w:val="x-none" w:eastAsia="es-MX"/>
    </w:rPr>
  </w:style>
  <w:style w:type="character" w:customStyle="1" w:styleId="corte4fondoCar1">
    <w:name w:val="corte4 fondo Car1"/>
    <w:link w:val="corte4fondo"/>
    <w:rsid w:val="00566190"/>
    <w:rPr>
      <w:rFonts w:ascii="Arial" w:eastAsia="Times New Roman" w:hAnsi="Arial" w:cs="Times New Roman"/>
      <w:sz w:val="30"/>
      <w:szCs w:val="20"/>
      <w:lang w:val="x-none" w:eastAsia="es-MX"/>
    </w:rPr>
  </w:style>
  <w:style w:type="paragraph" w:customStyle="1" w:styleId="Estilo">
    <w:name w:val="Estilo"/>
    <w:basedOn w:val="NoSpacing"/>
    <w:link w:val="EstiloCar"/>
    <w:qFormat/>
    <w:rsid w:val="007E7010"/>
    <w:pPr>
      <w:jc w:val="both"/>
    </w:pPr>
    <w:rPr>
      <w:rFonts w:ascii="Arial" w:hAnsi="Arial"/>
      <w:sz w:val="24"/>
    </w:rPr>
  </w:style>
  <w:style w:type="character" w:customStyle="1" w:styleId="EstiloCar">
    <w:name w:val="Estilo Car"/>
    <w:basedOn w:val="DefaultParagraphFont"/>
    <w:link w:val="Estilo"/>
    <w:rsid w:val="007E7010"/>
    <w:rPr>
      <w:rFonts w:ascii="Arial" w:hAnsi="Arial"/>
      <w:sz w:val="24"/>
      <w:lang w:val="es-MX"/>
    </w:rPr>
  </w:style>
  <w:style w:type="paragraph" w:styleId="NoSpacing">
    <w:name w:val="No Spacing"/>
    <w:uiPriority w:val="1"/>
    <w:qFormat/>
    <w:rsid w:val="007E7010"/>
    <w:pPr>
      <w:spacing w:after="0" w:line="240" w:lineRule="auto"/>
    </w:pPr>
    <w:rPr>
      <w:lang w:val="es-MX"/>
    </w:rPr>
  </w:style>
  <w:style w:type="character" w:customStyle="1" w:styleId="text-justify">
    <w:name w:val="text-justify"/>
    <w:basedOn w:val="DefaultParagraphFont"/>
    <w:rsid w:val="00E134F5"/>
  </w:style>
  <w:style w:type="character" w:customStyle="1" w:styleId="ng-star-inserted">
    <w:name w:val="ng-star-inserted"/>
    <w:basedOn w:val="DefaultParagraphFont"/>
    <w:rsid w:val="00F10AD6"/>
  </w:style>
  <w:style w:type="table" w:styleId="GridTable1Light">
    <w:name w:val="Grid Table 1 Light"/>
    <w:basedOn w:val="TableNormal"/>
    <w:uiPriority w:val="46"/>
    <w:rsid w:val="006938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6938E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semiHidden/>
    <w:unhideWhenUsed/>
    <w:rsid w:val="001515C7"/>
    <w:rPr>
      <w:sz w:val="16"/>
      <w:szCs w:val="16"/>
    </w:rPr>
  </w:style>
  <w:style w:type="paragraph" w:styleId="CommentText">
    <w:name w:val="annotation text"/>
    <w:basedOn w:val="Normal"/>
    <w:link w:val="CommentTextChar"/>
    <w:uiPriority w:val="99"/>
    <w:semiHidden/>
    <w:unhideWhenUsed/>
    <w:rsid w:val="001515C7"/>
    <w:pPr>
      <w:spacing w:line="240" w:lineRule="auto"/>
    </w:pPr>
    <w:rPr>
      <w:sz w:val="20"/>
      <w:szCs w:val="20"/>
    </w:rPr>
  </w:style>
  <w:style w:type="character" w:customStyle="1" w:styleId="CommentTextChar">
    <w:name w:val="Comment Text Char"/>
    <w:basedOn w:val="DefaultParagraphFont"/>
    <w:link w:val="CommentText"/>
    <w:uiPriority w:val="99"/>
    <w:semiHidden/>
    <w:rsid w:val="001515C7"/>
    <w:rPr>
      <w:sz w:val="20"/>
      <w:szCs w:val="20"/>
      <w:lang w:val="es-MX"/>
    </w:rPr>
  </w:style>
  <w:style w:type="paragraph" w:styleId="CommentSubject">
    <w:name w:val="annotation subject"/>
    <w:basedOn w:val="CommentText"/>
    <w:next w:val="CommentText"/>
    <w:link w:val="CommentSubjectChar"/>
    <w:uiPriority w:val="99"/>
    <w:semiHidden/>
    <w:unhideWhenUsed/>
    <w:rsid w:val="001515C7"/>
    <w:rPr>
      <w:b/>
      <w:bCs/>
    </w:rPr>
  </w:style>
  <w:style w:type="character" w:customStyle="1" w:styleId="CommentSubjectChar">
    <w:name w:val="Comment Subject Char"/>
    <w:basedOn w:val="CommentTextChar"/>
    <w:link w:val="CommentSubject"/>
    <w:uiPriority w:val="99"/>
    <w:semiHidden/>
    <w:rsid w:val="001515C7"/>
    <w:rPr>
      <w:b/>
      <w:bCs/>
      <w:sz w:val="20"/>
      <w:szCs w:val="20"/>
      <w:lang w:val="es-MX"/>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FootnoteReference"/>
    <w:uiPriority w:val="99"/>
    <w:rsid w:val="00FA5019"/>
    <w:pPr>
      <w:spacing w:after="0" w:line="240" w:lineRule="auto"/>
      <w:jc w:val="both"/>
    </w:pPr>
    <w:rPr>
      <w:vertAlign w:val="superscript"/>
      <w:lang w:val="es-ES"/>
    </w:rPr>
  </w:style>
  <w:style w:type="table" w:styleId="GridTable4-Accent3">
    <w:name w:val="Grid Table 4 Accent 3"/>
    <w:basedOn w:val="TableNormal"/>
    <w:uiPriority w:val="49"/>
    <w:rsid w:val="004246C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
    <w:name w:val="Texto"/>
    <w:basedOn w:val="Normal"/>
    <w:link w:val="TextoCar"/>
    <w:qFormat/>
    <w:rsid w:val="007B43B8"/>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locked/>
    <w:rsid w:val="007B43B8"/>
    <w:rPr>
      <w:rFonts w:ascii="Arial" w:eastAsia="Times New Roman" w:hAnsi="Arial" w:cs="Arial"/>
      <w:sz w:val="18"/>
      <w:szCs w:val="20"/>
    </w:rPr>
  </w:style>
  <w:style w:type="character" w:styleId="Strong">
    <w:name w:val="Strong"/>
    <w:basedOn w:val="DefaultParagraphFont"/>
    <w:uiPriority w:val="22"/>
    <w:qFormat/>
    <w:rsid w:val="007B43B8"/>
    <w:rPr>
      <w:b/>
      <w:bCs/>
    </w:rPr>
  </w:style>
  <w:style w:type="paragraph" w:customStyle="1" w:styleId="Default">
    <w:name w:val="Default"/>
    <w:rsid w:val="00142DE9"/>
    <w:pPr>
      <w:autoSpaceDE w:val="0"/>
      <w:autoSpaceDN w:val="0"/>
      <w:adjustRightInd w:val="0"/>
      <w:spacing w:after="0" w:line="240" w:lineRule="auto"/>
    </w:pPr>
    <w:rPr>
      <w:rFonts w:ascii="Arial" w:hAnsi="Arial" w:cs="Arial"/>
      <w:color w:val="000000"/>
      <w:sz w:val="24"/>
      <w:szCs w:val="24"/>
      <w:lang w:val="es-MX"/>
    </w:rPr>
  </w:style>
  <w:style w:type="table" w:styleId="PlainTable4">
    <w:name w:val="Plain Table 4"/>
    <w:basedOn w:val="TableNormal"/>
    <w:uiPriority w:val="44"/>
    <w:rsid w:val="003159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B8068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90575">
      <w:bodyDiv w:val="1"/>
      <w:marLeft w:val="0"/>
      <w:marRight w:val="0"/>
      <w:marTop w:val="0"/>
      <w:marBottom w:val="0"/>
      <w:divBdr>
        <w:top w:val="none" w:sz="0" w:space="0" w:color="auto"/>
        <w:left w:val="none" w:sz="0" w:space="0" w:color="auto"/>
        <w:bottom w:val="none" w:sz="0" w:space="0" w:color="auto"/>
        <w:right w:val="none" w:sz="0" w:space="0" w:color="auto"/>
      </w:divBdr>
    </w:div>
    <w:div w:id="80152259">
      <w:bodyDiv w:val="1"/>
      <w:marLeft w:val="0"/>
      <w:marRight w:val="0"/>
      <w:marTop w:val="0"/>
      <w:marBottom w:val="0"/>
      <w:divBdr>
        <w:top w:val="none" w:sz="0" w:space="0" w:color="auto"/>
        <w:left w:val="none" w:sz="0" w:space="0" w:color="auto"/>
        <w:bottom w:val="none" w:sz="0" w:space="0" w:color="auto"/>
        <w:right w:val="none" w:sz="0" w:space="0" w:color="auto"/>
      </w:divBdr>
    </w:div>
    <w:div w:id="250630463">
      <w:bodyDiv w:val="1"/>
      <w:marLeft w:val="0"/>
      <w:marRight w:val="0"/>
      <w:marTop w:val="0"/>
      <w:marBottom w:val="0"/>
      <w:divBdr>
        <w:top w:val="none" w:sz="0" w:space="0" w:color="auto"/>
        <w:left w:val="none" w:sz="0" w:space="0" w:color="auto"/>
        <w:bottom w:val="none" w:sz="0" w:space="0" w:color="auto"/>
        <w:right w:val="none" w:sz="0" w:space="0" w:color="auto"/>
      </w:divBdr>
    </w:div>
    <w:div w:id="254635781">
      <w:bodyDiv w:val="1"/>
      <w:marLeft w:val="0"/>
      <w:marRight w:val="0"/>
      <w:marTop w:val="0"/>
      <w:marBottom w:val="0"/>
      <w:divBdr>
        <w:top w:val="none" w:sz="0" w:space="0" w:color="auto"/>
        <w:left w:val="none" w:sz="0" w:space="0" w:color="auto"/>
        <w:bottom w:val="none" w:sz="0" w:space="0" w:color="auto"/>
        <w:right w:val="none" w:sz="0" w:space="0" w:color="auto"/>
      </w:divBdr>
    </w:div>
    <w:div w:id="331955087">
      <w:bodyDiv w:val="1"/>
      <w:marLeft w:val="0"/>
      <w:marRight w:val="0"/>
      <w:marTop w:val="0"/>
      <w:marBottom w:val="0"/>
      <w:divBdr>
        <w:top w:val="none" w:sz="0" w:space="0" w:color="auto"/>
        <w:left w:val="none" w:sz="0" w:space="0" w:color="auto"/>
        <w:bottom w:val="none" w:sz="0" w:space="0" w:color="auto"/>
        <w:right w:val="none" w:sz="0" w:space="0" w:color="auto"/>
      </w:divBdr>
      <w:divsChild>
        <w:div w:id="501549421">
          <w:marLeft w:val="0"/>
          <w:marRight w:val="0"/>
          <w:marTop w:val="0"/>
          <w:marBottom w:val="0"/>
          <w:divBdr>
            <w:top w:val="none" w:sz="0" w:space="0" w:color="auto"/>
            <w:left w:val="none" w:sz="0" w:space="0" w:color="auto"/>
            <w:bottom w:val="none" w:sz="0" w:space="0" w:color="auto"/>
            <w:right w:val="none" w:sz="0" w:space="0" w:color="auto"/>
          </w:divBdr>
          <w:divsChild>
            <w:div w:id="1454786249">
              <w:marLeft w:val="0"/>
              <w:marRight w:val="0"/>
              <w:marTop w:val="0"/>
              <w:marBottom w:val="0"/>
              <w:divBdr>
                <w:top w:val="none" w:sz="0" w:space="0" w:color="auto"/>
                <w:left w:val="none" w:sz="0" w:space="0" w:color="auto"/>
                <w:bottom w:val="none" w:sz="0" w:space="0" w:color="auto"/>
                <w:right w:val="none" w:sz="0" w:space="0" w:color="auto"/>
              </w:divBdr>
            </w:div>
          </w:divsChild>
        </w:div>
        <w:div w:id="977681719">
          <w:marLeft w:val="0"/>
          <w:marRight w:val="0"/>
          <w:marTop w:val="0"/>
          <w:marBottom w:val="0"/>
          <w:divBdr>
            <w:top w:val="none" w:sz="0" w:space="0" w:color="auto"/>
            <w:left w:val="none" w:sz="0" w:space="0" w:color="auto"/>
            <w:bottom w:val="none" w:sz="0" w:space="0" w:color="auto"/>
            <w:right w:val="none" w:sz="0" w:space="0" w:color="auto"/>
          </w:divBdr>
          <w:divsChild>
            <w:div w:id="930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452917">
      <w:bodyDiv w:val="1"/>
      <w:marLeft w:val="0"/>
      <w:marRight w:val="0"/>
      <w:marTop w:val="0"/>
      <w:marBottom w:val="0"/>
      <w:divBdr>
        <w:top w:val="none" w:sz="0" w:space="0" w:color="auto"/>
        <w:left w:val="none" w:sz="0" w:space="0" w:color="auto"/>
        <w:bottom w:val="none" w:sz="0" w:space="0" w:color="auto"/>
        <w:right w:val="none" w:sz="0" w:space="0" w:color="auto"/>
      </w:divBdr>
    </w:div>
    <w:div w:id="464271948">
      <w:bodyDiv w:val="1"/>
      <w:marLeft w:val="0"/>
      <w:marRight w:val="0"/>
      <w:marTop w:val="0"/>
      <w:marBottom w:val="0"/>
      <w:divBdr>
        <w:top w:val="none" w:sz="0" w:space="0" w:color="auto"/>
        <w:left w:val="none" w:sz="0" w:space="0" w:color="auto"/>
        <w:bottom w:val="none" w:sz="0" w:space="0" w:color="auto"/>
        <w:right w:val="none" w:sz="0" w:space="0" w:color="auto"/>
      </w:divBdr>
    </w:div>
    <w:div w:id="471874108">
      <w:bodyDiv w:val="1"/>
      <w:marLeft w:val="0"/>
      <w:marRight w:val="0"/>
      <w:marTop w:val="0"/>
      <w:marBottom w:val="0"/>
      <w:divBdr>
        <w:top w:val="none" w:sz="0" w:space="0" w:color="auto"/>
        <w:left w:val="none" w:sz="0" w:space="0" w:color="auto"/>
        <w:bottom w:val="none" w:sz="0" w:space="0" w:color="auto"/>
        <w:right w:val="none" w:sz="0" w:space="0" w:color="auto"/>
      </w:divBdr>
    </w:div>
    <w:div w:id="473376901">
      <w:bodyDiv w:val="1"/>
      <w:marLeft w:val="0"/>
      <w:marRight w:val="0"/>
      <w:marTop w:val="0"/>
      <w:marBottom w:val="0"/>
      <w:divBdr>
        <w:top w:val="none" w:sz="0" w:space="0" w:color="auto"/>
        <w:left w:val="none" w:sz="0" w:space="0" w:color="auto"/>
        <w:bottom w:val="none" w:sz="0" w:space="0" w:color="auto"/>
        <w:right w:val="none" w:sz="0" w:space="0" w:color="auto"/>
      </w:divBdr>
    </w:div>
    <w:div w:id="586155656">
      <w:bodyDiv w:val="1"/>
      <w:marLeft w:val="0"/>
      <w:marRight w:val="0"/>
      <w:marTop w:val="0"/>
      <w:marBottom w:val="0"/>
      <w:divBdr>
        <w:top w:val="none" w:sz="0" w:space="0" w:color="auto"/>
        <w:left w:val="none" w:sz="0" w:space="0" w:color="auto"/>
        <w:bottom w:val="none" w:sz="0" w:space="0" w:color="auto"/>
        <w:right w:val="none" w:sz="0" w:space="0" w:color="auto"/>
      </w:divBdr>
    </w:div>
    <w:div w:id="680740131">
      <w:bodyDiv w:val="1"/>
      <w:marLeft w:val="0"/>
      <w:marRight w:val="0"/>
      <w:marTop w:val="0"/>
      <w:marBottom w:val="0"/>
      <w:divBdr>
        <w:top w:val="none" w:sz="0" w:space="0" w:color="auto"/>
        <w:left w:val="none" w:sz="0" w:space="0" w:color="auto"/>
        <w:bottom w:val="none" w:sz="0" w:space="0" w:color="auto"/>
        <w:right w:val="none" w:sz="0" w:space="0" w:color="auto"/>
      </w:divBdr>
    </w:div>
    <w:div w:id="726689731">
      <w:bodyDiv w:val="1"/>
      <w:marLeft w:val="0"/>
      <w:marRight w:val="0"/>
      <w:marTop w:val="0"/>
      <w:marBottom w:val="0"/>
      <w:divBdr>
        <w:top w:val="none" w:sz="0" w:space="0" w:color="auto"/>
        <w:left w:val="none" w:sz="0" w:space="0" w:color="auto"/>
        <w:bottom w:val="none" w:sz="0" w:space="0" w:color="auto"/>
        <w:right w:val="none" w:sz="0" w:space="0" w:color="auto"/>
      </w:divBdr>
    </w:div>
    <w:div w:id="768745273">
      <w:bodyDiv w:val="1"/>
      <w:marLeft w:val="0"/>
      <w:marRight w:val="0"/>
      <w:marTop w:val="0"/>
      <w:marBottom w:val="0"/>
      <w:divBdr>
        <w:top w:val="none" w:sz="0" w:space="0" w:color="auto"/>
        <w:left w:val="none" w:sz="0" w:space="0" w:color="auto"/>
        <w:bottom w:val="none" w:sz="0" w:space="0" w:color="auto"/>
        <w:right w:val="none" w:sz="0" w:space="0" w:color="auto"/>
      </w:divBdr>
    </w:div>
    <w:div w:id="786243763">
      <w:bodyDiv w:val="1"/>
      <w:marLeft w:val="0"/>
      <w:marRight w:val="0"/>
      <w:marTop w:val="0"/>
      <w:marBottom w:val="0"/>
      <w:divBdr>
        <w:top w:val="none" w:sz="0" w:space="0" w:color="auto"/>
        <w:left w:val="none" w:sz="0" w:space="0" w:color="auto"/>
        <w:bottom w:val="none" w:sz="0" w:space="0" w:color="auto"/>
        <w:right w:val="none" w:sz="0" w:space="0" w:color="auto"/>
      </w:divBdr>
    </w:div>
    <w:div w:id="843279727">
      <w:bodyDiv w:val="1"/>
      <w:marLeft w:val="0"/>
      <w:marRight w:val="0"/>
      <w:marTop w:val="0"/>
      <w:marBottom w:val="0"/>
      <w:divBdr>
        <w:top w:val="none" w:sz="0" w:space="0" w:color="auto"/>
        <w:left w:val="none" w:sz="0" w:space="0" w:color="auto"/>
        <w:bottom w:val="none" w:sz="0" w:space="0" w:color="auto"/>
        <w:right w:val="none" w:sz="0" w:space="0" w:color="auto"/>
      </w:divBdr>
    </w:div>
    <w:div w:id="852888477">
      <w:bodyDiv w:val="1"/>
      <w:marLeft w:val="0"/>
      <w:marRight w:val="0"/>
      <w:marTop w:val="0"/>
      <w:marBottom w:val="0"/>
      <w:divBdr>
        <w:top w:val="none" w:sz="0" w:space="0" w:color="auto"/>
        <w:left w:val="none" w:sz="0" w:space="0" w:color="auto"/>
        <w:bottom w:val="none" w:sz="0" w:space="0" w:color="auto"/>
        <w:right w:val="none" w:sz="0" w:space="0" w:color="auto"/>
      </w:divBdr>
    </w:div>
    <w:div w:id="864054430">
      <w:bodyDiv w:val="1"/>
      <w:marLeft w:val="0"/>
      <w:marRight w:val="0"/>
      <w:marTop w:val="0"/>
      <w:marBottom w:val="0"/>
      <w:divBdr>
        <w:top w:val="none" w:sz="0" w:space="0" w:color="auto"/>
        <w:left w:val="none" w:sz="0" w:space="0" w:color="auto"/>
        <w:bottom w:val="none" w:sz="0" w:space="0" w:color="auto"/>
        <w:right w:val="none" w:sz="0" w:space="0" w:color="auto"/>
      </w:divBdr>
    </w:div>
    <w:div w:id="1018198031">
      <w:bodyDiv w:val="1"/>
      <w:marLeft w:val="0"/>
      <w:marRight w:val="0"/>
      <w:marTop w:val="0"/>
      <w:marBottom w:val="0"/>
      <w:divBdr>
        <w:top w:val="none" w:sz="0" w:space="0" w:color="auto"/>
        <w:left w:val="none" w:sz="0" w:space="0" w:color="auto"/>
        <w:bottom w:val="none" w:sz="0" w:space="0" w:color="auto"/>
        <w:right w:val="none" w:sz="0" w:space="0" w:color="auto"/>
      </w:divBdr>
    </w:div>
    <w:div w:id="1064373552">
      <w:bodyDiv w:val="1"/>
      <w:marLeft w:val="0"/>
      <w:marRight w:val="0"/>
      <w:marTop w:val="0"/>
      <w:marBottom w:val="0"/>
      <w:divBdr>
        <w:top w:val="none" w:sz="0" w:space="0" w:color="auto"/>
        <w:left w:val="none" w:sz="0" w:space="0" w:color="auto"/>
        <w:bottom w:val="none" w:sz="0" w:space="0" w:color="auto"/>
        <w:right w:val="none" w:sz="0" w:space="0" w:color="auto"/>
      </w:divBdr>
    </w:div>
    <w:div w:id="1092124201">
      <w:bodyDiv w:val="1"/>
      <w:marLeft w:val="0"/>
      <w:marRight w:val="0"/>
      <w:marTop w:val="0"/>
      <w:marBottom w:val="0"/>
      <w:divBdr>
        <w:top w:val="none" w:sz="0" w:space="0" w:color="auto"/>
        <w:left w:val="none" w:sz="0" w:space="0" w:color="auto"/>
        <w:bottom w:val="none" w:sz="0" w:space="0" w:color="auto"/>
        <w:right w:val="none" w:sz="0" w:space="0" w:color="auto"/>
      </w:divBdr>
    </w:div>
    <w:div w:id="1142455705">
      <w:bodyDiv w:val="1"/>
      <w:marLeft w:val="0"/>
      <w:marRight w:val="0"/>
      <w:marTop w:val="0"/>
      <w:marBottom w:val="0"/>
      <w:divBdr>
        <w:top w:val="none" w:sz="0" w:space="0" w:color="auto"/>
        <w:left w:val="none" w:sz="0" w:space="0" w:color="auto"/>
        <w:bottom w:val="none" w:sz="0" w:space="0" w:color="auto"/>
        <w:right w:val="none" w:sz="0" w:space="0" w:color="auto"/>
      </w:divBdr>
      <w:divsChild>
        <w:div w:id="2043089825">
          <w:marLeft w:val="0"/>
          <w:marRight w:val="0"/>
          <w:marTop w:val="0"/>
          <w:marBottom w:val="101"/>
          <w:divBdr>
            <w:top w:val="none" w:sz="0" w:space="0" w:color="auto"/>
            <w:left w:val="none" w:sz="0" w:space="0" w:color="auto"/>
            <w:bottom w:val="none" w:sz="0" w:space="0" w:color="auto"/>
            <w:right w:val="none" w:sz="0" w:space="0" w:color="auto"/>
          </w:divBdr>
        </w:div>
        <w:div w:id="588151979">
          <w:marLeft w:val="0"/>
          <w:marRight w:val="0"/>
          <w:marTop w:val="0"/>
          <w:marBottom w:val="101"/>
          <w:divBdr>
            <w:top w:val="none" w:sz="0" w:space="0" w:color="auto"/>
            <w:left w:val="none" w:sz="0" w:space="0" w:color="auto"/>
            <w:bottom w:val="none" w:sz="0" w:space="0" w:color="auto"/>
            <w:right w:val="none" w:sz="0" w:space="0" w:color="auto"/>
          </w:divBdr>
        </w:div>
        <w:div w:id="1350252672">
          <w:marLeft w:val="0"/>
          <w:marRight w:val="0"/>
          <w:marTop w:val="0"/>
          <w:marBottom w:val="101"/>
          <w:divBdr>
            <w:top w:val="none" w:sz="0" w:space="0" w:color="auto"/>
            <w:left w:val="none" w:sz="0" w:space="0" w:color="auto"/>
            <w:bottom w:val="none" w:sz="0" w:space="0" w:color="auto"/>
            <w:right w:val="none" w:sz="0" w:space="0" w:color="auto"/>
          </w:divBdr>
        </w:div>
        <w:div w:id="680086474">
          <w:marLeft w:val="0"/>
          <w:marRight w:val="0"/>
          <w:marTop w:val="0"/>
          <w:marBottom w:val="101"/>
          <w:divBdr>
            <w:top w:val="none" w:sz="0" w:space="0" w:color="auto"/>
            <w:left w:val="none" w:sz="0" w:space="0" w:color="auto"/>
            <w:bottom w:val="none" w:sz="0" w:space="0" w:color="auto"/>
            <w:right w:val="none" w:sz="0" w:space="0" w:color="auto"/>
          </w:divBdr>
        </w:div>
        <w:div w:id="639924901">
          <w:marLeft w:val="0"/>
          <w:marRight w:val="0"/>
          <w:marTop w:val="0"/>
          <w:marBottom w:val="101"/>
          <w:divBdr>
            <w:top w:val="none" w:sz="0" w:space="0" w:color="auto"/>
            <w:left w:val="none" w:sz="0" w:space="0" w:color="auto"/>
            <w:bottom w:val="none" w:sz="0" w:space="0" w:color="auto"/>
            <w:right w:val="none" w:sz="0" w:space="0" w:color="auto"/>
          </w:divBdr>
        </w:div>
        <w:div w:id="1266159693">
          <w:marLeft w:val="0"/>
          <w:marRight w:val="0"/>
          <w:marTop w:val="0"/>
          <w:marBottom w:val="101"/>
          <w:divBdr>
            <w:top w:val="none" w:sz="0" w:space="0" w:color="auto"/>
            <w:left w:val="none" w:sz="0" w:space="0" w:color="auto"/>
            <w:bottom w:val="none" w:sz="0" w:space="0" w:color="auto"/>
            <w:right w:val="none" w:sz="0" w:space="0" w:color="auto"/>
          </w:divBdr>
        </w:div>
        <w:div w:id="1484002790">
          <w:marLeft w:val="0"/>
          <w:marRight w:val="0"/>
          <w:marTop w:val="0"/>
          <w:marBottom w:val="101"/>
          <w:divBdr>
            <w:top w:val="none" w:sz="0" w:space="0" w:color="auto"/>
            <w:left w:val="none" w:sz="0" w:space="0" w:color="auto"/>
            <w:bottom w:val="none" w:sz="0" w:space="0" w:color="auto"/>
            <w:right w:val="none" w:sz="0" w:space="0" w:color="auto"/>
          </w:divBdr>
        </w:div>
        <w:div w:id="348485495">
          <w:marLeft w:val="0"/>
          <w:marRight w:val="0"/>
          <w:marTop w:val="0"/>
          <w:marBottom w:val="101"/>
          <w:divBdr>
            <w:top w:val="none" w:sz="0" w:space="0" w:color="auto"/>
            <w:left w:val="none" w:sz="0" w:space="0" w:color="auto"/>
            <w:bottom w:val="none" w:sz="0" w:space="0" w:color="auto"/>
            <w:right w:val="none" w:sz="0" w:space="0" w:color="auto"/>
          </w:divBdr>
        </w:div>
      </w:divsChild>
    </w:div>
    <w:div w:id="1159466538">
      <w:bodyDiv w:val="1"/>
      <w:marLeft w:val="0"/>
      <w:marRight w:val="0"/>
      <w:marTop w:val="0"/>
      <w:marBottom w:val="0"/>
      <w:divBdr>
        <w:top w:val="none" w:sz="0" w:space="0" w:color="auto"/>
        <w:left w:val="none" w:sz="0" w:space="0" w:color="auto"/>
        <w:bottom w:val="none" w:sz="0" w:space="0" w:color="auto"/>
        <w:right w:val="none" w:sz="0" w:space="0" w:color="auto"/>
      </w:divBdr>
    </w:div>
    <w:div w:id="1195314807">
      <w:bodyDiv w:val="1"/>
      <w:marLeft w:val="0"/>
      <w:marRight w:val="0"/>
      <w:marTop w:val="0"/>
      <w:marBottom w:val="0"/>
      <w:divBdr>
        <w:top w:val="none" w:sz="0" w:space="0" w:color="auto"/>
        <w:left w:val="none" w:sz="0" w:space="0" w:color="auto"/>
        <w:bottom w:val="none" w:sz="0" w:space="0" w:color="auto"/>
        <w:right w:val="none" w:sz="0" w:space="0" w:color="auto"/>
      </w:divBdr>
    </w:div>
    <w:div w:id="1303776730">
      <w:bodyDiv w:val="1"/>
      <w:marLeft w:val="0"/>
      <w:marRight w:val="0"/>
      <w:marTop w:val="0"/>
      <w:marBottom w:val="0"/>
      <w:divBdr>
        <w:top w:val="none" w:sz="0" w:space="0" w:color="auto"/>
        <w:left w:val="none" w:sz="0" w:space="0" w:color="auto"/>
        <w:bottom w:val="none" w:sz="0" w:space="0" w:color="auto"/>
        <w:right w:val="none" w:sz="0" w:space="0" w:color="auto"/>
      </w:divBdr>
      <w:divsChild>
        <w:div w:id="311367983">
          <w:marLeft w:val="567"/>
          <w:marRight w:val="616"/>
          <w:marTop w:val="0"/>
          <w:marBottom w:val="0"/>
          <w:divBdr>
            <w:top w:val="none" w:sz="0" w:space="0" w:color="auto"/>
            <w:left w:val="none" w:sz="0" w:space="0" w:color="auto"/>
            <w:bottom w:val="none" w:sz="0" w:space="0" w:color="auto"/>
            <w:right w:val="none" w:sz="0" w:space="0" w:color="auto"/>
          </w:divBdr>
        </w:div>
        <w:div w:id="1530798844">
          <w:marLeft w:val="720"/>
          <w:marRight w:val="0"/>
          <w:marTop w:val="0"/>
          <w:marBottom w:val="0"/>
          <w:divBdr>
            <w:top w:val="none" w:sz="0" w:space="0" w:color="auto"/>
            <w:left w:val="none" w:sz="0" w:space="0" w:color="auto"/>
            <w:bottom w:val="none" w:sz="0" w:space="0" w:color="auto"/>
            <w:right w:val="none" w:sz="0" w:space="0" w:color="auto"/>
          </w:divBdr>
        </w:div>
        <w:div w:id="63767182">
          <w:marLeft w:val="720"/>
          <w:marRight w:val="0"/>
          <w:marTop w:val="0"/>
          <w:marBottom w:val="0"/>
          <w:divBdr>
            <w:top w:val="none" w:sz="0" w:space="0" w:color="auto"/>
            <w:left w:val="none" w:sz="0" w:space="0" w:color="auto"/>
            <w:bottom w:val="none" w:sz="0" w:space="0" w:color="auto"/>
            <w:right w:val="none" w:sz="0" w:space="0" w:color="auto"/>
          </w:divBdr>
        </w:div>
        <w:div w:id="494686235">
          <w:marLeft w:val="720"/>
          <w:marRight w:val="0"/>
          <w:marTop w:val="0"/>
          <w:marBottom w:val="0"/>
          <w:divBdr>
            <w:top w:val="none" w:sz="0" w:space="0" w:color="auto"/>
            <w:left w:val="none" w:sz="0" w:space="0" w:color="auto"/>
            <w:bottom w:val="none" w:sz="0" w:space="0" w:color="auto"/>
            <w:right w:val="none" w:sz="0" w:space="0" w:color="auto"/>
          </w:divBdr>
        </w:div>
      </w:divsChild>
    </w:div>
    <w:div w:id="1477916859">
      <w:bodyDiv w:val="1"/>
      <w:marLeft w:val="0"/>
      <w:marRight w:val="0"/>
      <w:marTop w:val="0"/>
      <w:marBottom w:val="0"/>
      <w:divBdr>
        <w:top w:val="none" w:sz="0" w:space="0" w:color="auto"/>
        <w:left w:val="none" w:sz="0" w:space="0" w:color="auto"/>
        <w:bottom w:val="none" w:sz="0" w:space="0" w:color="auto"/>
        <w:right w:val="none" w:sz="0" w:space="0" w:color="auto"/>
      </w:divBdr>
    </w:div>
    <w:div w:id="1515608624">
      <w:bodyDiv w:val="1"/>
      <w:marLeft w:val="0"/>
      <w:marRight w:val="0"/>
      <w:marTop w:val="0"/>
      <w:marBottom w:val="0"/>
      <w:divBdr>
        <w:top w:val="none" w:sz="0" w:space="0" w:color="auto"/>
        <w:left w:val="none" w:sz="0" w:space="0" w:color="auto"/>
        <w:bottom w:val="none" w:sz="0" w:space="0" w:color="auto"/>
        <w:right w:val="none" w:sz="0" w:space="0" w:color="auto"/>
      </w:divBdr>
    </w:div>
    <w:div w:id="1546989878">
      <w:bodyDiv w:val="1"/>
      <w:marLeft w:val="0"/>
      <w:marRight w:val="0"/>
      <w:marTop w:val="0"/>
      <w:marBottom w:val="0"/>
      <w:divBdr>
        <w:top w:val="none" w:sz="0" w:space="0" w:color="auto"/>
        <w:left w:val="none" w:sz="0" w:space="0" w:color="auto"/>
        <w:bottom w:val="none" w:sz="0" w:space="0" w:color="auto"/>
        <w:right w:val="none" w:sz="0" w:space="0" w:color="auto"/>
      </w:divBdr>
    </w:div>
    <w:div w:id="1568110301">
      <w:bodyDiv w:val="1"/>
      <w:marLeft w:val="0"/>
      <w:marRight w:val="0"/>
      <w:marTop w:val="0"/>
      <w:marBottom w:val="0"/>
      <w:divBdr>
        <w:top w:val="none" w:sz="0" w:space="0" w:color="auto"/>
        <w:left w:val="none" w:sz="0" w:space="0" w:color="auto"/>
        <w:bottom w:val="none" w:sz="0" w:space="0" w:color="auto"/>
        <w:right w:val="none" w:sz="0" w:space="0" w:color="auto"/>
      </w:divBdr>
    </w:div>
    <w:div w:id="1632782996">
      <w:bodyDiv w:val="1"/>
      <w:marLeft w:val="0"/>
      <w:marRight w:val="0"/>
      <w:marTop w:val="0"/>
      <w:marBottom w:val="0"/>
      <w:divBdr>
        <w:top w:val="none" w:sz="0" w:space="0" w:color="auto"/>
        <w:left w:val="none" w:sz="0" w:space="0" w:color="auto"/>
        <w:bottom w:val="none" w:sz="0" w:space="0" w:color="auto"/>
        <w:right w:val="none" w:sz="0" w:space="0" w:color="auto"/>
      </w:divBdr>
    </w:div>
    <w:div w:id="1636906173">
      <w:bodyDiv w:val="1"/>
      <w:marLeft w:val="0"/>
      <w:marRight w:val="0"/>
      <w:marTop w:val="0"/>
      <w:marBottom w:val="0"/>
      <w:divBdr>
        <w:top w:val="none" w:sz="0" w:space="0" w:color="auto"/>
        <w:left w:val="none" w:sz="0" w:space="0" w:color="auto"/>
        <w:bottom w:val="none" w:sz="0" w:space="0" w:color="auto"/>
        <w:right w:val="none" w:sz="0" w:space="0" w:color="auto"/>
      </w:divBdr>
    </w:div>
    <w:div w:id="2121145299">
      <w:bodyDiv w:val="1"/>
      <w:marLeft w:val="0"/>
      <w:marRight w:val="0"/>
      <w:marTop w:val="0"/>
      <w:marBottom w:val="0"/>
      <w:divBdr>
        <w:top w:val="none" w:sz="0" w:space="0" w:color="auto"/>
        <w:left w:val="none" w:sz="0" w:space="0" w:color="auto"/>
        <w:bottom w:val="none" w:sz="0" w:space="0" w:color="auto"/>
        <w:right w:val="none" w:sz="0" w:space="0" w:color="auto"/>
      </w:divBdr>
    </w:div>
    <w:div w:id="21260771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egaipslp.org.mx/webcegaip2026.nsf/nombre_de_la_vista/21A4B98DB3C7377006258DED00581184/$File/LTAIPSLP84XXXI+04+2026.xlsx" TargetMode="External"/><Relationship Id="rId21" Type="http://schemas.openxmlformats.org/officeDocument/2006/relationships/hyperlink" Target="http://www.cegaipslp.org.mx/webcegaip2025.nsf/nombre_de_la_vista/CB939C25D400F27D06258D5600676E53/$File/LTAIPSLP84XXXI+11+2025.xlsx" TargetMode="External"/><Relationship Id="rId42" Type="http://schemas.openxmlformats.org/officeDocument/2006/relationships/hyperlink" Target="http://www.cegaipslp.org.mx/webcegaip2025.nsf/nombre_de_la_vista/D22B335BD8B60EBF06258D7A0069BF4E/$File/LTAIPSLP84XXXIII.xlsx" TargetMode="External"/><Relationship Id="rId47" Type="http://schemas.openxmlformats.org/officeDocument/2006/relationships/hyperlink" Target="http://www.cegaipslp.org.mx/webcegaip2026.nsf/nombre_de_la_vista/FD09AE440B74ADD306258E11006E5E36/$File/LTAIPSLP84XXXIII.xlsx" TargetMode="External"/><Relationship Id="rId63" Type="http://schemas.openxmlformats.org/officeDocument/2006/relationships/hyperlink" Target="http://www.cegaipslp.org.mx/webcegaip2026.nsf/nombre_de_la_vista/618EBBB72BCE4E7006258D99006C6D67/$File/LTAIPSLP84XXXVIII.xlsx" TargetMode="External"/><Relationship Id="rId68" Type="http://schemas.openxmlformats.org/officeDocument/2006/relationships/hyperlink" Target="http://www.cegaipslp.org.mx/webcegaip2026.nsf/nombre_de_la_vista/C534891CC077D92206258E2F005F4147/$File/LTAIPSLP84XXXVIII.xlsx" TargetMode="External"/><Relationship Id="rId16" Type="http://schemas.openxmlformats.org/officeDocument/2006/relationships/hyperlink" Target="http://www.cegaipslp.org.mx/webcegaip2025.nsf/nombre_de_la_vista/5037C635D192B33906258CC100522537/$File/LTAIPSLP84XXXI+06+2025.xlsx" TargetMode="External"/><Relationship Id="rId11" Type="http://schemas.openxmlformats.org/officeDocument/2006/relationships/hyperlink" Target="http://www.cegaipslp.org.mx/webcegaip2025.nsf/nombre_de_la_vista/726E0F4F50E40CF606258C2A005909D9/$File/LTAIPSLP84XXXI+01+2025.xlsx" TargetMode="External"/><Relationship Id="rId24" Type="http://schemas.openxmlformats.org/officeDocument/2006/relationships/hyperlink" Target="http://www.cegaipslp.org.mx/webcegaip2026.nsf/nombre_de_la_vista/3BE416372B37D75B06258DAF0061DDBD/$File/LTAIPSLP84XXXI+02+2026.xlsx" TargetMode="External"/><Relationship Id="rId32" Type="http://schemas.openxmlformats.org/officeDocument/2006/relationships/hyperlink" Target="http://www.cegaipslp.org.mx/webcegaip2025.nsf/nombre_de_la_vista/EABA160B9472C70706258C46005DF795/$File/LTAIPSLP84XXXIII.xlsx" TargetMode="External"/><Relationship Id="rId37" Type="http://schemas.openxmlformats.org/officeDocument/2006/relationships/hyperlink" Target="http://www.cegaipslp.org.mx/webcegaip2025.nsf/nombre_de_la_vista/823D760646DC735C06258CE00053928F/$File/LTAIPSLP84XXXIII.xlsx" TargetMode="External"/><Relationship Id="rId40" Type="http://schemas.openxmlformats.org/officeDocument/2006/relationships/hyperlink" Target="http://www.cegaipslp.org.mx/webcegaip2025.nsf/nombre_de_la_vista/8E9811D9B5E8E20006258D3B006578B6/$File/LTAIPSLP84XXXIII.xlsx" TargetMode="External"/><Relationship Id="rId45" Type="http://schemas.openxmlformats.org/officeDocument/2006/relationships/hyperlink" Target="http://www.cegaipslp.org.mx/webcegaip2026.nsf/nombre_de_la_vista/D808F68286B9679F06258DD4007267B5/$File/LTAIPSLP84XXXIII.xlsx" TargetMode="External"/><Relationship Id="rId53" Type="http://schemas.openxmlformats.org/officeDocument/2006/relationships/hyperlink" Target="http://www.cegaipslp.org.mx/webcegaip2025.nsf/nombre_de_la_vista/B022537F483FD81806258C670061EEF0/$File/LTAIPSLP84XXXVIII.xlsx" TargetMode="External"/><Relationship Id="rId58" Type="http://schemas.openxmlformats.org/officeDocument/2006/relationships/hyperlink" Target="http://www.cegaipslp.org.mx/webcegaip2025.nsf/nombre_de_la_vista/78BEE1151D47507B06258CFF00701A49/$File/LTAIPSLP84XXXVIII.xlsx" TargetMode="External"/><Relationship Id="rId66" Type="http://schemas.openxmlformats.org/officeDocument/2006/relationships/hyperlink" Target="http://www.cegaipslp.org.mx/webcegaip2026.nsf/nombre_de_la_vista/22F1F414BFB0DAF906258DF6006AE552/$File/LTAIPSLP84XXXVIII.xlsx" TargetMode="External"/><Relationship Id="rId74" Type="http://schemas.openxmlformats.org/officeDocument/2006/relationships/hyperlink" Target="mailto:transparencia@sanluisimplan.gob.mx"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www.cegaipslp.org.mx/webcegaip2025.nsf/nombre_de_la_vista/122CD50670E7091706258D5B006A6776/$File/LTAIPSLP84XXXVIII.xlsx" TargetMode="External"/><Relationship Id="rId19" Type="http://schemas.openxmlformats.org/officeDocument/2006/relationships/hyperlink" Target="http://www.cegaipslp.org.mx/webcegaip2025.nsf/nombre_de_la_vista/77ACF464250D466106258D1C006DB557/$File/LTAIPSLP84XXXI+09+2025.xlsx" TargetMode="External"/><Relationship Id="rId14" Type="http://schemas.openxmlformats.org/officeDocument/2006/relationships/hyperlink" Target="http://www.cegaipslp.org.mx/webcegaip2025.nsf/nombre_de_la_vista/0859C6FBCDF8DD9406258C83005A7E58/$File/LTAIPSLP84XXXI+04+2025.xlsx" TargetMode="External"/><Relationship Id="rId22" Type="http://schemas.openxmlformats.org/officeDocument/2006/relationships/hyperlink" Target="http://www.cegaipslp.org.mx/webcegaip2025.nsf/nombre_de_la_vista/0F546EFEF0AA21D506258D770067ABA5/$File/LTAIPSLP84XXXI+12+2025.xlsx" TargetMode="External"/><Relationship Id="rId27" Type="http://schemas.openxmlformats.org/officeDocument/2006/relationships/hyperlink" Target="http://www.cegaipslp.org.mx/webcegaip2026.nsf/nombre_de_la_vista/7A66BCF9ABCE449C06258E110062CD1A/$File/LTAIPSLP84XXXI+05+2026.xlsx" TargetMode="External"/><Relationship Id="rId30" Type="http://schemas.openxmlformats.org/officeDocument/2006/relationships/hyperlink" Target="http://www.cegaipslp.org.mx/webcegaip2026.nsf/nombre_de_la_vista/A89562A91B5E25A306258E670052065F/$File/LTAIPSLP84XXXI+08+2026.xlsx" TargetMode="External"/><Relationship Id="rId35" Type="http://schemas.openxmlformats.org/officeDocument/2006/relationships/hyperlink" Target="http://www.cegaipslp.org.mx/webcegaip2025.nsf/nombre_de_la_vista/E81673B73419B52306258CA40071BC0A/$File/LTAIPSLP84XXXIII.xlsx" TargetMode="External"/><Relationship Id="rId43" Type="http://schemas.openxmlformats.org/officeDocument/2006/relationships/hyperlink" Target="http://www.cegaipslp.org.mx/webcegaip2026.nsf/nombre_de_la_vista/D69100A32DC4D15206258D9A0059F4BD/$File/LTAIPSLP84XXXIII.xlsx" TargetMode="External"/><Relationship Id="rId48" Type="http://schemas.openxmlformats.org/officeDocument/2006/relationships/hyperlink" Target="http://www.cegaipslp.org.mx/webcegaip2026.nsf/nombre_de_la_vista/D50B06DC095C195C06258E2F00740F0C/$File/LTAIPSLP84XXXIII.xlsx" TargetMode="External"/><Relationship Id="rId56" Type="http://schemas.openxmlformats.org/officeDocument/2006/relationships/hyperlink" Target="http://www.cegaipslp.org.mx/webcegaip2025.nsf/nombre_de_la_vista/114F42EA95A9808706258CC00068AC3C/$File/LTAIPSLP84XXXVIII.xlsx" TargetMode="External"/><Relationship Id="rId64" Type="http://schemas.openxmlformats.org/officeDocument/2006/relationships/hyperlink" Target="http://www.cegaipslp.org.mx/webcegaip2026.nsf/nombre_de_la_vista/83224886C307EB9306258DB600650C54/$File/LTAIPSLP84XXXVIII.xlsx" TargetMode="External"/><Relationship Id="rId69" Type="http://schemas.openxmlformats.org/officeDocument/2006/relationships/hyperlink" Target="http://www.cegaipslp.org.mx/webcegaip2026.nsf/nombre_de_la_vista/ADDA35FDF226E66D06258E4C00655CC2/$File/LTAIPSLP84XXXVIII.xlsx" TargetMode="External"/><Relationship Id="rId77" Type="http://schemas.openxmlformats.org/officeDocument/2006/relationships/footer" Target="footer1.xml"/><Relationship Id="rId8" Type="http://schemas.openxmlformats.org/officeDocument/2006/relationships/hyperlink" Target="https://www.pets.org.mx/" TargetMode="External"/><Relationship Id="rId51" Type="http://schemas.openxmlformats.org/officeDocument/2006/relationships/hyperlink" Target="http://www.cegaipslp.org.mx/webcegaip2025.nsf/nombre_de_la_vista/AAC584B99B10128D06258C2D0055D199/$File/LTAIPSLP84XXXVIII.xlsx" TargetMode="External"/><Relationship Id="rId72" Type="http://schemas.openxmlformats.org/officeDocument/2006/relationships/hyperlink" Target="https://sanluisimplan.gob.mx/planes-y-programas/" TargetMode="External"/><Relationship Id="rId3" Type="http://schemas.openxmlformats.org/officeDocument/2006/relationships/styles" Target="styles.xml"/><Relationship Id="rId12" Type="http://schemas.openxmlformats.org/officeDocument/2006/relationships/hyperlink" Target="http://www.cegaipslp.org.mx/webcegaip2025.nsf/nombre_de_la_vista/E1C3095AEC17627506258C430057D390/$File/LTAIPSLP84XXXI+02+2025.xlsx" TargetMode="External"/><Relationship Id="rId17" Type="http://schemas.openxmlformats.org/officeDocument/2006/relationships/hyperlink" Target="http://www.cegaipslp.org.mx/webcegaip2025.nsf/nombre_de_la_vista/E66A616F31F7907306258CD90052D585/$File/LTAIPSLP84XXXI+07+2025.xlsx" TargetMode="External"/><Relationship Id="rId25" Type="http://schemas.openxmlformats.org/officeDocument/2006/relationships/hyperlink" Target="http://www.cegaipslp.org.mx/webcegaip2026.nsf/nombre_de_la_vista/E7E1BB677C68BF9206258DD10060B1EA/$File/LTAIPSLP84XXXI+03+2026.xlsx" TargetMode="External"/><Relationship Id="rId33" Type="http://schemas.openxmlformats.org/officeDocument/2006/relationships/hyperlink" Target="http://www.cegaipslp.org.mx/webcegaip2025.nsf/nombre_de_la_vista/4F8D633EF27578E006258C67006272D2/$File/LTAIPSLP84XXXIII.xlsx" TargetMode="External"/><Relationship Id="rId38" Type="http://schemas.openxmlformats.org/officeDocument/2006/relationships/hyperlink" Target="http://www.cegaipslp.org.mx/webcegaip2025.nsf/nombre_de_la_vista/8CA83FCDE7A676F806258CFF006D2280/$File/LTAIPSLP84XXXIII.xlsx" TargetMode="External"/><Relationship Id="rId46" Type="http://schemas.openxmlformats.org/officeDocument/2006/relationships/hyperlink" Target="http://www.cegaipslp.org.mx/webcegaip2026.nsf/nombre_de_la_vista/E3CBF18D2D48378706258DF1006DA4EF/$File/LTAIPSLP84XXXIII.xlsx" TargetMode="External"/><Relationship Id="rId59" Type="http://schemas.openxmlformats.org/officeDocument/2006/relationships/hyperlink" Target="http://www.cegaipslp.org.mx/webcegaip2025.nsf/nombre_de_la_vista/BCF22BAB94D1701306258D1E00577808/$File/LTAIPSLP84XXXVIII.xlsx" TargetMode="External"/><Relationship Id="rId67" Type="http://schemas.openxmlformats.org/officeDocument/2006/relationships/hyperlink" Target="http://www.cegaipslp.org.mx/webcegaip2026.nsf/nombre_de_la_vista/0E479D77F540901306258E1000667DBC/$File/LTAIPSLP84XXXVIII.xlsx" TargetMode="External"/><Relationship Id="rId20" Type="http://schemas.openxmlformats.org/officeDocument/2006/relationships/hyperlink" Target="http://www.cegaipslp.org.mx/webcegaip2025.nsf/nombre_de_la_vista/8C7AD28195545B2906258D390055662F/$File/LTAIPSLP84XXXI+10+2025.xlsx" TargetMode="External"/><Relationship Id="rId41" Type="http://schemas.openxmlformats.org/officeDocument/2006/relationships/hyperlink" Target="http://www.cegaipslp.org.mx/webcegaip2025.nsf/nombre_de_la_vista/54DD875543E5E99206258D5B0066C8BE/$File/LTAIPSLP84XXXIII.xlsx" TargetMode="External"/><Relationship Id="rId54" Type="http://schemas.openxmlformats.org/officeDocument/2006/relationships/hyperlink" Target="http://www.cegaipslp.org.mx/webcegaip2025.nsf/nombre_de_la_vista/87FBF09BE260196106258C8400703BDF/$File/LTAIPSLP84XXXVIII.xlsx" TargetMode="External"/><Relationship Id="rId62" Type="http://schemas.openxmlformats.org/officeDocument/2006/relationships/hyperlink" Target="http://www.cegaipslp.org.mx/webcegaip2025.nsf/nombre_de_la_vista/62E95FEC59EE101606258D790073882B/$File/LTAIPSLP84XXXVIII.xlsx" TargetMode="External"/><Relationship Id="rId70" Type="http://schemas.openxmlformats.org/officeDocument/2006/relationships/hyperlink" Target="http://www.cegaipslp.org.mx/webcegaip2026.nsf/nombre_de_la_vista/E796F05678897F8B06258E6C0063E882/$File/LTAIPSLP84XXXVIII.xlsx" TargetMode="External"/><Relationship Id="rId75" Type="http://schemas.openxmlformats.org/officeDocument/2006/relationships/hyperlink" Target="http://www.cegaipslp.org.mx/webcegaip2026.nsf/nombre_de_la_vista/14E3C8CB9D6546E706258E6E0055507F/$File/LTAIPSLP84XVIII.xlsx?OpenElemen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egaipslp.org.mx/webcegaip2025.nsf/nombre_de_la_vista/3259A486E8B5894806258CA4006FC63C/$File/LTAIPSLP84XXXI+05+2025.xlsx" TargetMode="External"/><Relationship Id="rId23" Type="http://schemas.openxmlformats.org/officeDocument/2006/relationships/hyperlink" Target="http://www.cegaipslp.org.mx/webcegaip2026.nsf/nombre_de_la_vista/DB1EF309DF7D1BC406258D94005C7E39/$File/LTAIPSLP84XXXI+01+2026.xlsx" TargetMode="External"/><Relationship Id="rId28" Type="http://schemas.openxmlformats.org/officeDocument/2006/relationships/hyperlink" Target="http://www.cegaipslp.org.mx/webcegaip2026.nsf/nombre_de_la_vista/33939F4A62B89AE406258E2E00821DBE/$File/LTAIPSLP84XXXI+06+2026.xlsx" TargetMode="External"/><Relationship Id="rId36" Type="http://schemas.openxmlformats.org/officeDocument/2006/relationships/hyperlink" Target="http://www.cegaipslp.org.mx/webcegaip2025.nsf/nombre_de_la_vista/6F8036433C9F0AA806258CC200588E99/$File/LTAIPSLP84XXXIII.xlsx" TargetMode="External"/><Relationship Id="rId49" Type="http://schemas.openxmlformats.org/officeDocument/2006/relationships/hyperlink" Target="http://www.cegaipslp.org.mx/webcegaip2026.nsf/nombre_de_la_vista/FB543265878D1F2A06258E4C0068871A/$File/LTAIPSLP84XXXIII.xlsx" TargetMode="External"/><Relationship Id="rId57" Type="http://schemas.openxmlformats.org/officeDocument/2006/relationships/hyperlink" Target="http://www.cegaipslp.org.mx/webcegaip2025.nsf/nombre_de_la_vista/8200A07A2DA8860606258CE00059E8BF/$File/LTAIPSLP84XXXVIII.xlsx" TargetMode="External"/><Relationship Id="rId10" Type="http://schemas.openxmlformats.org/officeDocument/2006/relationships/hyperlink" Target="https://sitio.sanluis.gob.mx/SanLuisPotosi/LicitacionesPublicas2" TargetMode="External"/><Relationship Id="rId31" Type="http://schemas.openxmlformats.org/officeDocument/2006/relationships/hyperlink" Target="http://www.cegaipslp.org.mx/webcegaip2025.nsf/nombre_de_la_vista/AC344E83366B316A06258C2D005424F2/$File/LTAIPSLP84XXXIII.xlsx" TargetMode="External"/><Relationship Id="rId44" Type="http://schemas.openxmlformats.org/officeDocument/2006/relationships/hyperlink" Target="http://www.cegaipslp.org.mx/webcegaip2026.nsf/nombre_de_la_vista/D3C0D57B7FCF3F7406258DB5006F014A/$File/LTAIPSLP84XXXIII.xlsx" TargetMode="External"/><Relationship Id="rId52" Type="http://schemas.openxmlformats.org/officeDocument/2006/relationships/hyperlink" Target="http://www.cegaipslp.org.mx/webcegaip2025.nsf/nombre_de_la_vista/8D9AE36A3A74824F06258C4900682CC8/$File/LTAIPSLP84XXXVIII.xlsx" TargetMode="External"/><Relationship Id="rId60" Type="http://schemas.openxmlformats.org/officeDocument/2006/relationships/hyperlink" Target="http://www.cegaipslp.org.mx/webcegaip2025.nsf/nombre_de_la_vista/2D68B954CE4E0DA406258D3B006802E6/$File/LTAIPSLP84XXXVIII.xlsx" TargetMode="External"/><Relationship Id="rId65" Type="http://schemas.openxmlformats.org/officeDocument/2006/relationships/hyperlink" Target="http://www.cegaipslp.org.mx/webcegaip2026.nsf/nombre_de_la_vista/BA9BC0827CEE085F06258DD40061BE5B/$File/LTAIPSLP84XXXVIII.xlsx" TargetMode="External"/><Relationship Id="rId73" Type="http://schemas.openxmlformats.org/officeDocument/2006/relationships/hyperlink" Target="https://sanluisimplan.gob.mx/consulta-publica/"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tio.sanluis.gob.mx/SanLuisPotosi/Transparencia/Finanzas" TargetMode="External"/><Relationship Id="rId13" Type="http://schemas.openxmlformats.org/officeDocument/2006/relationships/hyperlink" Target="http://www.cegaipslp.org.mx/webcegaip2025.nsf/nombre_de_la_vista/EEA1D30215FB632106258C6600566C6F/$File/LTAIPSLP84XXXI+03+2025.xlsx" TargetMode="External"/><Relationship Id="rId18" Type="http://schemas.openxmlformats.org/officeDocument/2006/relationships/hyperlink" Target="http://www.cegaipslp.org.mx/webcegaip2025.nsf/nombre_de_la_vista/3F34EEE03E9E048406258CF8005FD6B4/$File/LTAIPSLP84XXXI+08+2025.xlsx" TargetMode="External"/><Relationship Id="rId39" Type="http://schemas.openxmlformats.org/officeDocument/2006/relationships/hyperlink" Target="http://www.cegaipslp.org.mx/webcegaip2025.nsf/nombre_de_la_vista/DA38AFF700045F5B06258D1D006FE8B2/$File/LTAIPSLP84XXXIII.xlsx" TargetMode="External"/><Relationship Id="rId34" Type="http://schemas.openxmlformats.org/officeDocument/2006/relationships/hyperlink" Target="http://www.cegaipslp.org.mx/webcegaip2025.nsf/nombre_de_la_vista/63E95AE4A855744E06258C8500634F19/$File/LTAIPSLP84XXXIII.xlsx" TargetMode="External"/><Relationship Id="rId50" Type="http://schemas.openxmlformats.org/officeDocument/2006/relationships/hyperlink" Target="http://www.cegaipslp.org.mx/webcegaip2026.nsf/nombre_de_la_vista/AC3EB9C8AC1B095106258E6D0070AF75/$File/LTAIPSLP84XXXIII.xlsx" TargetMode="External"/><Relationship Id="rId55" Type="http://schemas.openxmlformats.org/officeDocument/2006/relationships/hyperlink" Target="http://www.cegaipslp.org.mx/webcegaip2025.nsf/nombre_de_la_vista/06EBE79C92E0691B06258CA40067228B/$File/LTAIPSLP84XXXVIII.xlsx" TargetMode="External"/><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sanluisimplan.gob.mx/proyectos/" TargetMode="External"/><Relationship Id="rId2" Type="http://schemas.openxmlformats.org/officeDocument/2006/relationships/numbering" Target="numbering.xml"/><Relationship Id="rId29" Type="http://schemas.openxmlformats.org/officeDocument/2006/relationships/hyperlink" Target="http://www.cegaipslp.org.mx/webcegaip2026.nsf/nombre_de_la_vista/048997BE535F232006258E4A0072ED6E/$File/LTAIPSLP84XXXI+07+2026.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98CAB3-7F49-4C7B-8304-488D625E2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33</Pages>
  <Words>14484</Words>
  <Characters>79664</Characters>
  <Application>Microsoft Office Word</Application>
  <DocSecurity>0</DocSecurity>
  <Lines>663</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Ponencia 3</cp:lastModifiedBy>
  <cp:revision>6</cp:revision>
  <cp:lastPrinted>2026-10-07T15:47:00Z</cp:lastPrinted>
  <dcterms:created xsi:type="dcterms:W3CDTF">2026-09-07T15:46:00Z</dcterms:created>
  <dcterms:modified xsi:type="dcterms:W3CDTF">2026-10-08T20:04:00Z</dcterms:modified>
</cp:coreProperties>
</file>